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德州科技职业学院高等学历继续教育</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pPr>
      <w:r>
        <w:rPr>
          <w:rFonts w:hint="eastAsia" w:ascii="方正小标宋简体" w:hAnsi="方正小标宋简体" w:eastAsia="方正小标宋简体" w:cs="方正小标宋简体"/>
          <w:b w:val="0"/>
          <w:bCs/>
          <w:kern w:val="0"/>
          <w:sz w:val="44"/>
          <w:szCs w:val="44"/>
        </w:rPr>
        <w:t>建筑工程技术</w:t>
      </w:r>
      <w:r>
        <w:rPr>
          <w:rFonts w:hint="eastAsia" w:ascii="方正小标宋简体" w:hAnsi="方正小标宋简体" w:eastAsia="方正小标宋简体" w:cs="方正小标宋简体"/>
          <w:b w:val="0"/>
          <w:bCs/>
          <w:sz w:val="44"/>
          <w:szCs w:val="44"/>
        </w:rPr>
        <w:t>专业人才培养方案</w:t>
      </w:r>
    </w:p>
    <w:p>
      <w:pPr>
        <w:spacing w:line="400" w:lineRule="exact"/>
        <w:ind w:firstLine="472"/>
        <w:jc w:val="left"/>
        <w:rPr>
          <w:rFonts w:eastAsia="方正黑体简体"/>
          <w:b/>
          <w:sz w:val="24"/>
        </w:rPr>
      </w:pPr>
    </w:p>
    <w:p>
      <w:pPr>
        <w:pStyle w:val="3"/>
        <w:bidi w:val="0"/>
      </w:pPr>
      <w:bookmarkStart w:id="0" w:name="_Toc305418726"/>
      <w:bookmarkStart w:id="1" w:name="_Toc405393372"/>
      <w:bookmarkStart w:id="2" w:name="_Toc15223546"/>
      <w:bookmarkStart w:id="3" w:name="_Toc407697887"/>
      <w:bookmarkStart w:id="4" w:name="_Toc303837889"/>
      <w:bookmarkStart w:id="5" w:name="_Toc407696129"/>
      <w:r>
        <w:rPr>
          <w:rFonts w:hint="eastAsia"/>
        </w:rPr>
        <w:t>一、</w:t>
      </w:r>
      <w:bookmarkEnd w:id="0"/>
      <w:bookmarkEnd w:id="1"/>
      <w:bookmarkEnd w:id="2"/>
      <w:bookmarkEnd w:id="3"/>
      <w:bookmarkEnd w:id="4"/>
      <w:bookmarkEnd w:id="5"/>
      <w:r>
        <w:rPr>
          <w:rFonts w:hint="eastAsia"/>
        </w:rPr>
        <w:t>专业基本信息</w:t>
      </w:r>
    </w:p>
    <w:p>
      <w:pPr>
        <w:bidi w:val="0"/>
      </w:pPr>
      <w:r>
        <w:rPr>
          <w:rFonts w:hint="eastAsia"/>
        </w:rPr>
        <w:t xml:space="preserve">专业名称和专业代码：建筑工程技术  </w:t>
      </w:r>
      <w:r>
        <w:rPr>
          <w:rFonts w:hint="default" w:ascii="Times New Roman" w:hAnsi="Times New Roman" w:cs="Times New Roman"/>
        </w:rPr>
        <w:t>440301</w:t>
      </w:r>
    </w:p>
    <w:p>
      <w:pPr>
        <w:bidi w:val="0"/>
      </w:pPr>
      <w:r>
        <w:rPr>
          <w:rFonts w:hint="eastAsia"/>
        </w:rPr>
        <w:t>学科门类：土木建筑大类</w:t>
      </w:r>
    </w:p>
    <w:p>
      <w:pPr>
        <w:bidi w:val="0"/>
      </w:pPr>
      <w:r>
        <w:rPr>
          <w:rFonts w:hint="eastAsia"/>
        </w:rPr>
        <w:t>专业类别：土建施工类</w:t>
      </w:r>
    </w:p>
    <w:p>
      <w:pPr>
        <w:bidi w:val="0"/>
      </w:pPr>
      <w:r>
        <w:rPr>
          <w:rFonts w:hint="eastAsia"/>
        </w:rPr>
        <w:t>专业层次：高起专</w:t>
      </w:r>
    </w:p>
    <w:p>
      <w:pPr>
        <w:bidi w:val="0"/>
      </w:pPr>
      <w:r>
        <w:rPr>
          <w:rFonts w:hint="eastAsia"/>
        </w:rPr>
        <w:t>学    制：</w:t>
      </w:r>
      <w:r>
        <w:rPr>
          <w:rFonts w:hint="default" w:ascii="Times New Roman" w:hAnsi="Times New Roman" w:cs="Times New Roman"/>
        </w:rPr>
        <w:t>2</w:t>
      </w:r>
      <w:r>
        <w:rPr>
          <w:rFonts w:hint="eastAsia"/>
        </w:rPr>
        <w:t>.</w:t>
      </w:r>
      <w:r>
        <w:rPr>
          <w:rFonts w:hint="default" w:ascii="Times New Roman" w:hAnsi="Times New Roman" w:cs="Times New Roman"/>
        </w:rPr>
        <w:t>5</w:t>
      </w:r>
      <w:r>
        <w:rPr>
          <w:rFonts w:hint="eastAsia"/>
        </w:rPr>
        <w:t>年</w:t>
      </w:r>
    </w:p>
    <w:p>
      <w:pPr>
        <w:bidi w:val="0"/>
      </w:pPr>
      <w:r>
        <w:rPr>
          <w:rFonts w:hint="eastAsia"/>
        </w:rPr>
        <w:t>学习形式：函授</w:t>
      </w:r>
    </w:p>
    <w:p>
      <w:pPr>
        <w:pStyle w:val="3"/>
        <w:bidi w:val="0"/>
      </w:pPr>
      <w:r>
        <w:rPr>
          <w:rFonts w:hint="eastAsia"/>
        </w:rPr>
        <w:t>二、招生对象和入学要求</w:t>
      </w:r>
    </w:p>
    <w:p>
      <w:pPr>
        <w:bidi w:val="0"/>
        <w:jc w:val="left"/>
      </w:pPr>
      <w:bookmarkStart w:id="6" w:name="_Hlk12287714"/>
      <w:r>
        <w:rPr>
          <w:rFonts w:hint="eastAsia"/>
        </w:rPr>
        <w:t>遵守中华人民共和国宪法和法律，高中阶段教育毕业、中等职业学校毕业或具备同等学力。身体健康，生活能自理，不影响所报专业学习。</w:t>
      </w:r>
    </w:p>
    <w:bookmarkEnd w:id="6"/>
    <w:p>
      <w:pPr>
        <w:pStyle w:val="3"/>
        <w:bidi w:val="0"/>
      </w:pPr>
      <w:r>
        <w:rPr>
          <w:rFonts w:hint="eastAsia"/>
        </w:rPr>
        <w:t>三、培养目标</w:t>
      </w:r>
    </w:p>
    <w:p>
      <w:pPr>
        <w:bidi w:val="0"/>
      </w:pPr>
      <w:r>
        <w:rPr>
          <w:rFonts w:hint="eastAsia"/>
        </w:rPr>
        <w:t>本专业培养理想信念坚定，德、智、体、美、劳全面发展，具有一定的科学文化水平，良好的人文素养、职业道德和创新意识，精益求精的工匠精神，较强的就业能力和可持续发展的能力；掌握本专业群必须的知识和技术技能，面向建筑领域，能够从事工业与民用建筑的设计、施工、管理、投资和开发部门从事技术或管理工作的高素质技术技能型人才。</w:t>
      </w:r>
    </w:p>
    <w:p>
      <w:pPr>
        <w:pStyle w:val="3"/>
        <w:bidi w:val="0"/>
      </w:pPr>
      <w:r>
        <w:rPr>
          <w:rFonts w:hint="eastAsia"/>
        </w:rPr>
        <w:t>四、培养要求</w:t>
      </w:r>
    </w:p>
    <w:p>
      <w:pPr>
        <w:pStyle w:val="4"/>
        <w:bidi w:val="0"/>
      </w:pPr>
      <w:r>
        <w:rPr>
          <w:rFonts w:hint="eastAsia"/>
          <w:lang w:eastAsia="zh-CN"/>
        </w:rPr>
        <w:t>（</w:t>
      </w:r>
      <w:r>
        <w:rPr>
          <w:rFonts w:hint="eastAsia"/>
          <w:lang w:val="en-US" w:eastAsia="zh-CN"/>
        </w:rPr>
        <w:t>一</w:t>
      </w:r>
      <w:r>
        <w:rPr>
          <w:rFonts w:hint="eastAsia"/>
          <w:lang w:eastAsia="zh-CN"/>
        </w:rPr>
        <w:t>）</w:t>
      </w:r>
      <w:r>
        <w:rPr>
          <w:rFonts w:hint="eastAsia"/>
        </w:rPr>
        <w:t>知识</w:t>
      </w:r>
    </w:p>
    <w:p>
      <w:pPr>
        <w:bidi w:val="0"/>
      </w:pPr>
      <w:r>
        <w:rPr>
          <w:rFonts w:hint="eastAsia"/>
        </w:rPr>
        <w:t>（</w:t>
      </w:r>
      <w:r>
        <w:rPr>
          <w:rFonts w:hint="default" w:ascii="Times New Roman" w:hAnsi="Times New Roman" w:cs="Times New Roman"/>
        </w:rPr>
        <w:t>1</w:t>
      </w:r>
      <w:r>
        <w:rPr>
          <w:rFonts w:hint="eastAsia"/>
        </w:rPr>
        <w:t>）具有</w:t>
      </w:r>
      <w:r>
        <w:t>一定的文化基础知识</w:t>
      </w:r>
      <w:r>
        <w:rPr>
          <w:rFonts w:hint="eastAsia"/>
        </w:rPr>
        <w:t>、</w:t>
      </w:r>
      <w:r>
        <w:t>人文社会科学知识</w:t>
      </w:r>
      <w:r>
        <w:rPr>
          <w:rFonts w:hint="eastAsia"/>
        </w:rPr>
        <w:t>、英语和计算机知识；掌握</w:t>
      </w:r>
      <w:r>
        <w:t>本专业必需的高等数学、体育与健康等基础知识</w:t>
      </w:r>
      <w:r>
        <w:rPr>
          <w:rFonts w:hint="eastAsia"/>
        </w:rPr>
        <w:t>。</w:t>
      </w:r>
    </w:p>
    <w:p>
      <w:pPr>
        <w:bidi w:val="0"/>
      </w:pPr>
      <w:r>
        <w:rPr>
          <w:rFonts w:hint="eastAsia"/>
        </w:rPr>
        <w:t>（</w:t>
      </w:r>
      <w:r>
        <w:rPr>
          <w:rFonts w:hint="default" w:ascii="Times New Roman" w:hAnsi="Times New Roman" w:cs="Times New Roman"/>
        </w:rPr>
        <w:t>2</w:t>
      </w:r>
      <w:r>
        <w:rPr>
          <w:rFonts w:hint="eastAsia"/>
        </w:rPr>
        <w:t>）</w:t>
      </w:r>
      <w:r>
        <w:t>掌握</w:t>
      </w:r>
      <w:r>
        <w:rPr>
          <w:rFonts w:hint="eastAsia"/>
        </w:rPr>
        <w:t>建筑制图与识图、建筑材料与检测、建筑</w:t>
      </w:r>
      <w:r>
        <w:rPr>
          <w:rFonts w:hint="default" w:ascii="Times New Roman" w:hAnsi="Times New Roman" w:cs="Times New Roman"/>
        </w:rPr>
        <w:t>CAD</w:t>
      </w:r>
      <w:r>
        <w:rPr>
          <w:rFonts w:hint="eastAsia"/>
        </w:rPr>
        <w:t>、建筑工程测量等职业基础知识。</w:t>
      </w:r>
    </w:p>
    <w:p>
      <w:pPr>
        <w:bidi w:val="0"/>
      </w:pPr>
      <w:r>
        <w:rPr>
          <w:rFonts w:hint="eastAsia"/>
        </w:rPr>
        <w:t>（</w:t>
      </w:r>
      <w:r>
        <w:rPr>
          <w:rFonts w:hint="default" w:ascii="Times New Roman" w:hAnsi="Times New Roman" w:cs="Times New Roman"/>
        </w:rPr>
        <w:t>3</w:t>
      </w:r>
      <w:r>
        <w:rPr>
          <w:rFonts w:hint="eastAsia"/>
        </w:rPr>
        <w:t>）掌握一般工业与民用建筑施工的标准、规范和施工技术。</w:t>
      </w:r>
    </w:p>
    <w:p>
      <w:pPr>
        <w:bidi w:val="0"/>
      </w:pPr>
      <w:r>
        <w:rPr>
          <w:rFonts w:hint="eastAsia"/>
        </w:rPr>
        <w:t>（</w:t>
      </w:r>
      <w:r>
        <w:rPr>
          <w:rFonts w:hint="default" w:ascii="Times New Roman" w:hAnsi="Times New Roman" w:cs="Times New Roman"/>
        </w:rPr>
        <w:t>4</w:t>
      </w:r>
      <w:r>
        <w:rPr>
          <w:rFonts w:hint="eastAsia"/>
        </w:rPr>
        <w:t>）</w:t>
      </w:r>
      <w:r>
        <w:t>掌握</w:t>
      </w:r>
      <w:r>
        <w:rPr>
          <w:rFonts w:hint="eastAsia"/>
        </w:rPr>
        <w:t>施工现场常用的施工组织和施工管理方法及简单的施工计算方法。</w:t>
      </w:r>
    </w:p>
    <w:p>
      <w:pPr>
        <w:bidi w:val="0"/>
      </w:pPr>
      <w:r>
        <w:rPr>
          <w:rFonts w:hint="eastAsia"/>
        </w:rPr>
        <w:t>（</w:t>
      </w:r>
      <w:r>
        <w:rPr>
          <w:rFonts w:hint="default" w:ascii="Times New Roman" w:hAnsi="Times New Roman" w:cs="Times New Roman"/>
        </w:rPr>
        <w:t>5</w:t>
      </w:r>
      <w:r>
        <w:rPr>
          <w:rFonts w:hint="eastAsia"/>
        </w:rPr>
        <w:t>）掌握常用建筑施工质量验收，并了解相关建筑的法律与法规。</w:t>
      </w:r>
    </w:p>
    <w:p>
      <w:pPr>
        <w:bidi w:val="0"/>
      </w:pPr>
      <w:r>
        <w:rPr>
          <w:rFonts w:hint="eastAsia"/>
        </w:rPr>
        <w:t>（</w:t>
      </w:r>
      <w:r>
        <w:rPr>
          <w:rFonts w:hint="default" w:ascii="Times New Roman" w:hAnsi="Times New Roman" w:cs="Times New Roman"/>
        </w:rPr>
        <w:t>6</w:t>
      </w:r>
      <w:r>
        <w:rPr>
          <w:rFonts w:hint="eastAsia"/>
        </w:rPr>
        <w:t>）掌握建筑工程质量、安全、文明施工管理知识。</w:t>
      </w:r>
    </w:p>
    <w:p>
      <w:pPr>
        <w:bidi w:val="0"/>
      </w:pPr>
      <w:r>
        <w:rPr>
          <w:rFonts w:hint="eastAsia"/>
        </w:rPr>
        <w:t>（</w:t>
      </w:r>
      <w:r>
        <w:rPr>
          <w:rFonts w:hint="default" w:ascii="Times New Roman" w:hAnsi="Times New Roman" w:cs="Times New Roman"/>
        </w:rPr>
        <w:t>7</w:t>
      </w:r>
      <w:r>
        <w:rPr>
          <w:rFonts w:hint="eastAsia"/>
        </w:rPr>
        <w:t>）掌握一定的经济与经营管理知识，能进行工程统计和现场经济分析。</w:t>
      </w:r>
    </w:p>
    <w:p>
      <w:pPr>
        <w:pStyle w:val="4"/>
        <w:bidi w:val="0"/>
      </w:pPr>
      <w:r>
        <w:rPr>
          <w:rFonts w:hint="eastAsia"/>
          <w:lang w:eastAsia="zh-CN"/>
        </w:rPr>
        <w:t>（</w:t>
      </w:r>
      <w:r>
        <w:rPr>
          <w:rFonts w:hint="eastAsia"/>
          <w:lang w:val="en-US" w:eastAsia="zh-CN"/>
        </w:rPr>
        <w:t>二</w:t>
      </w:r>
      <w:r>
        <w:rPr>
          <w:rFonts w:hint="eastAsia"/>
          <w:lang w:eastAsia="zh-CN"/>
        </w:rPr>
        <w:t>）</w:t>
      </w:r>
      <w:r>
        <w:rPr>
          <w:rFonts w:hint="eastAsia"/>
        </w:rPr>
        <w:t>能力</w:t>
      </w:r>
    </w:p>
    <w:p>
      <w:pPr>
        <w:bidi w:val="0"/>
      </w:pPr>
      <w:r>
        <w:rPr>
          <w:rFonts w:hint="eastAsia"/>
        </w:rPr>
        <w:t>（</w:t>
      </w:r>
      <w:r>
        <w:rPr>
          <w:rFonts w:hint="default" w:ascii="Times New Roman" w:hAnsi="Times New Roman" w:cs="Times New Roman"/>
        </w:rPr>
        <w:t>1</w:t>
      </w:r>
      <w:r>
        <w:rPr>
          <w:rFonts w:hint="eastAsia"/>
        </w:rPr>
        <w:t>）专业能力：具备建筑工程识图与制图的能力；具备建筑施工测量及建筑施工技术的能力；具备建筑水、暖、电等设备设施的施工能力；具备施工组织及安全管理能力；具备建筑质量检验与工程成本控制的能力。</w:t>
      </w:r>
    </w:p>
    <w:p>
      <w:pPr>
        <w:bidi w:val="0"/>
      </w:pPr>
      <w:r>
        <w:rPr>
          <w:rFonts w:hint="eastAsia"/>
        </w:rPr>
        <w:t>（</w:t>
      </w:r>
      <w:r>
        <w:rPr>
          <w:rFonts w:hint="default" w:ascii="Times New Roman" w:hAnsi="Times New Roman" w:cs="Times New Roman"/>
        </w:rPr>
        <w:t>2</w:t>
      </w:r>
      <w:r>
        <w:rPr>
          <w:rFonts w:hint="eastAsia"/>
        </w:rPr>
        <w:t>）方法能力：具备良好的专业理解能力、自学能力以及查阅资料的能力；具备基本的计算机操作与办公软件应用能力；具备较好的科技英语交流沟通能力；具备较好的语言表达与文字写作能力；具备较好的自主学习能力；具有对新知识新技术新材料新设备的学习能力和不断创新的能力。</w:t>
      </w:r>
    </w:p>
    <w:p>
      <w:pPr>
        <w:bidi w:val="0"/>
      </w:pPr>
      <w:r>
        <w:rPr>
          <w:rFonts w:hint="eastAsia"/>
        </w:rPr>
        <w:t>（</w:t>
      </w:r>
      <w:r>
        <w:rPr>
          <w:rFonts w:hint="default" w:ascii="Times New Roman" w:hAnsi="Times New Roman" w:cs="Times New Roman"/>
        </w:rPr>
        <w:t>3</w:t>
      </w:r>
      <w:r>
        <w:rPr>
          <w:rFonts w:hint="eastAsia"/>
        </w:rPr>
        <w:t>）社会能力：具备良好的人际交往能力和团队协作精神。</w:t>
      </w:r>
    </w:p>
    <w:p>
      <w:pPr>
        <w:pStyle w:val="4"/>
        <w:bidi w:val="0"/>
        <w:rPr>
          <w:rStyle w:val="11"/>
          <w:b/>
        </w:rPr>
      </w:pPr>
      <w:r>
        <w:rPr>
          <w:rStyle w:val="11"/>
          <w:rFonts w:hint="eastAsia" w:ascii="Arial" w:hAnsi="Arial"/>
          <w:b/>
          <w:lang w:val="en-US" w:eastAsia="zh-CN"/>
        </w:rPr>
        <w:t>（三</w:t>
      </w:r>
      <w:r>
        <w:rPr>
          <w:rStyle w:val="11"/>
          <w:rFonts w:hint="eastAsia"/>
          <w:b/>
          <w:lang w:eastAsia="zh-CN"/>
        </w:rPr>
        <w:t>）</w:t>
      </w:r>
      <w:r>
        <w:rPr>
          <w:rStyle w:val="11"/>
          <w:rFonts w:hint="eastAsia"/>
          <w:b/>
        </w:rPr>
        <w:t>素质</w:t>
      </w:r>
    </w:p>
    <w:p>
      <w:pPr>
        <w:bidi w:val="0"/>
      </w:pPr>
      <w:r>
        <w:rPr>
          <w:rFonts w:hint="eastAsia"/>
        </w:rPr>
        <w:t>（</w:t>
      </w:r>
      <w:r>
        <w:rPr>
          <w:rFonts w:hint="default" w:ascii="Times New Roman" w:hAnsi="Times New Roman" w:cs="Times New Roman"/>
        </w:rPr>
        <w:t>1</w:t>
      </w:r>
      <w:r>
        <w:rPr>
          <w:rFonts w:hint="eastAsia"/>
        </w:rPr>
        <w:t>）坚定拥护中国共产党领导和我国社会主义制度，在习近平新时代中国特色社会主义思想指引下，践行社会主义核心价值观，具有深厚的爱国情感和中华民族自豪感；</w:t>
      </w:r>
    </w:p>
    <w:p>
      <w:pPr>
        <w:bidi w:val="0"/>
      </w:pPr>
      <w:r>
        <w:rPr>
          <w:rFonts w:hint="eastAsia"/>
        </w:rPr>
        <w:t>（</w:t>
      </w:r>
      <w:r>
        <w:rPr>
          <w:rFonts w:hint="default" w:ascii="Times New Roman" w:hAnsi="Times New Roman" w:cs="Times New Roman"/>
        </w:rPr>
        <w:t>2</w:t>
      </w:r>
      <w:r>
        <w:rPr>
          <w:rFonts w:hint="eastAsia"/>
        </w:rPr>
        <w:t>）崇尚宪法、遵法守纪、崇德向善、诚实守信、尊重生命、热爱劳动，履行道德准则和行为规范，具有社会责任感和社会参与意识；</w:t>
      </w:r>
    </w:p>
    <w:p>
      <w:pPr>
        <w:bidi w:val="0"/>
      </w:pPr>
      <w:r>
        <w:rPr>
          <w:rFonts w:hint="eastAsia"/>
        </w:rPr>
        <w:t>（</w:t>
      </w:r>
      <w:r>
        <w:rPr>
          <w:rFonts w:hint="default" w:ascii="Times New Roman" w:hAnsi="Times New Roman" w:cs="Times New Roman"/>
        </w:rPr>
        <w:t>3</w:t>
      </w:r>
      <w:r>
        <w:rPr>
          <w:rFonts w:hint="eastAsia"/>
        </w:rPr>
        <w:t>）具有质量意识、环保意识、安全意识、信息素养、工匠精神、创新思维；</w:t>
      </w:r>
    </w:p>
    <w:p>
      <w:pPr>
        <w:bidi w:val="0"/>
      </w:pPr>
      <w:r>
        <w:rPr>
          <w:rFonts w:hint="eastAsia"/>
        </w:rPr>
        <w:t>（</w:t>
      </w:r>
      <w:r>
        <w:rPr>
          <w:rFonts w:hint="default" w:ascii="Times New Roman" w:hAnsi="Times New Roman" w:cs="Times New Roman"/>
        </w:rPr>
        <w:t>4</w:t>
      </w:r>
      <w:r>
        <w:rPr>
          <w:rFonts w:hint="eastAsia"/>
        </w:rPr>
        <w:t>）勇于奋斗、乐观向上，具有自我管理能力、职业生涯规划的意识，有较强的集体意识和团队合作精神；</w:t>
      </w:r>
    </w:p>
    <w:p>
      <w:pPr>
        <w:bidi w:val="0"/>
      </w:pPr>
      <w:r>
        <w:rPr>
          <w:rFonts w:hint="eastAsia"/>
        </w:rPr>
        <w:t>（</w:t>
      </w:r>
      <w:r>
        <w:rPr>
          <w:rFonts w:hint="default" w:ascii="Times New Roman" w:hAnsi="Times New Roman" w:cs="Times New Roman"/>
        </w:rPr>
        <w:t>5</w:t>
      </w:r>
      <w:r>
        <w:rPr>
          <w:rFonts w:hint="eastAsia"/>
        </w:rPr>
        <w:t>）具有健康的体魄、心理和健全的人格，掌握基本运动知识和一两项运动技能，养成良好的健身与卫生习惯，良好的行为习惯；</w:t>
      </w:r>
    </w:p>
    <w:p>
      <w:pPr>
        <w:bidi w:val="0"/>
      </w:pPr>
      <w:r>
        <w:rPr>
          <w:rFonts w:hint="eastAsia"/>
        </w:rPr>
        <w:t>（</w:t>
      </w:r>
      <w:r>
        <w:rPr>
          <w:rFonts w:hint="default" w:ascii="Times New Roman" w:hAnsi="Times New Roman" w:cs="Times New Roman"/>
        </w:rPr>
        <w:t>6</w:t>
      </w:r>
      <w:r>
        <w:rPr>
          <w:rFonts w:hint="eastAsia"/>
        </w:rPr>
        <w:t>）具有一定的审美和人文素养，能够形成一两项艺术特长或爱好；</w:t>
      </w:r>
    </w:p>
    <w:p>
      <w:pPr>
        <w:bidi w:val="0"/>
      </w:pPr>
      <w:r>
        <w:rPr>
          <w:rFonts w:hint="eastAsia"/>
        </w:rPr>
        <w:t>（</w:t>
      </w:r>
      <w:r>
        <w:rPr>
          <w:rFonts w:hint="default" w:ascii="Times New Roman" w:hAnsi="Times New Roman" w:cs="Times New Roman"/>
        </w:rPr>
        <w:t>7</w:t>
      </w:r>
      <w:r>
        <w:rPr>
          <w:rFonts w:hint="eastAsia"/>
        </w:rPr>
        <w:t>）掌握本专业必备的基础理论和专业技能，并能在相关岗位从事管理工作的高素质技能型人才。</w:t>
      </w:r>
    </w:p>
    <w:p>
      <w:pPr>
        <w:pStyle w:val="4"/>
        <w:bidi w:val="0"/>
      </w:pPr>
      <w:r>
        <w:rPr>
          <w:rFonts w:hint="eastAsia"/>
          <w:lang w:eastAsia="zh-CN"/>
        </w:rPr>
        <w:t>（</w:t>
      </w:r>
      <w:r>
        <w:rPr>
          <w:rFonts w:hint="eastAsia"/>
          <w:lang w:val="en-US" w:eastAsia="zh-CN"/>
        </w:rPr>
        <w:t>四</w:t>
      </w:r>
      <w:r>
        <w:rPr>
          <w:rFonts w:hint="eastAsia"/>
          <w:lang w:eastAsia="zh-CN"/>
        </w:rPr>
        <w:t>）</w:t>
      </w:r>
      <w:r>
        <w:rPr>
          <w:rFonts w:hint="eastAsia"/>
        </w:rPr>
        <w:t>毕业要求</w:t>
      </w:r>
    </w:p>
    <w:p>
      <w:pPr>
        <w:bidi w:val="0"/>
        <w:rPr>
          <w:rFonts w:hint="eastAsia"/>
        </w:rPr>
      </w:pPr>
      <w:r>
        <w:rPr>
          <w:rFonts w:hint="eastAsia"/>
          <w:b/>
          <w:bCs/>
          <w:lang w:val="en-US" w:eastAsia="zh-CN"/>
        </w:rPr>
        <w:t>毕业要求：</w:t>
      </w:r>
      <w:r>
        <w:rPr>
          <w:rFonts w:hint="eastAsia"/>
        </w:rPr>
        <w:t>按照教学计划要求，修完所有课程</w:t>
      </w:r>
      <w:r>
        <w:rPr>
          <w:rFonts w:hint="eastAsia"/>
          <w:lang w:val="en-US" w:eastAsia="zh-CN"/>
        </w:rPr>
        <w:t>并且及格</w:t>
      </w:r>
      <w:r>
        <w:rPr>
          <w:rFonts w:hint="eastAsia"/>
        </w:rPr>
        <w:t>，修满</w:t>
      </w:r>
      <w:r>
        <w:rPr>
          <w:rFonts w:hint="default" w:ascii="Times New Roman" w:hAnsi="Times New Roman" w:cs="Times New Roman"/>
          <w:lang w:val="en-US" w:eastAsia="zh-CN"/>
        </w:rPr>
        <w:t>10</w:t>
      </w:r>
      <w:r>
        <w:rPr>
          <w:rFonts w:hint="eastAsia" w:cs="Times New Roman"/>
          <w:lang w:val="en-US" w:eastAsia="zh-CN"/>
        </w:rPr>
        <w:t>3</w:t>
      </w:r>
      <w:r>
        <w:rPr>
          <w:rFonts w:hint="eastAsia"/>
        </w:rPr>
        <w:t>学分，</w:t>
      </w:r>
      <w:r>
        <w:rPr>
          <w:rFonts w:hint="eastAsia"/>
          <w:lang w:val="en-US" w:eastAsia="zh-CN"/>
        </w:rPr>
        <w:t>毕业实习和毕业设计均需及格，</w:t>
      </w:r>
      <w:r>
        <w:rPr>
          <w:rFonts w:hint="eastAsia"/>
        </w:rPr>
        <w:t>并经过思想品德鉴定为合格的毕业生，颁发成人高等教育专科毕业证书，国家承认学历。</w:t>
      </w:r>
    </w:p>
    <w:p>
      <w:pPr>
        <w:pStyle w:val="3"/>
        <w:bidi w:val="0"/>
      </w:pPr>
      <w:r>
        <w:rPr>
          <w:rFonts w:hint="eastAsia"/>
        </w:rPr>
        <w:t>五、课程体系</w:t>
      </w:r>
    </w:p>
    <w:p>
      <w:pPr>
        <w:pStyle w:val="4"/>
        <w:bidi w:val="0"/>
      </w:pPr>
      <w:r>
        <w:rPr>
          <w:rFonts w:hint="eastAsia"/>
          <w:lang w:eastAsia="zh-CN"/>
        </w:rPr>
        <w:t>（</w:t>
      </w:r>
      <w:r>
        <w:rPr>
          <w:rFonts w:hint="eastAsia"/>
          <w:lang w:val="en-US" w:eastAsia="zh-CN"/>
        </w:rPr>
        <w:t>一</w:t>
      </w:r>
      <w:r>
        <w:rPr>
          <w:rFonts w:hint="eastAsia"/>
          <w:lang w:eastAsia="zh-CN"/>
        </w:rPr>
        <w:t>）</w:t>
      </w:r>
      <w:r>
        <w:rPr>
          <w:rFonts w:hint="eastAsia"/>
        </w:rPr>
        <w:t>课程体系框架</w:t>
      </w:r>
    </w:p>
    <w:tbl>
      <w:tblPr>
        <w:tblStyle w:val="7"/>
        <w:tblW w:w="10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283"/>
        <w:gridCol w:w="1189"/>
        <w:gridCol w:w="2410"/>
        <w:gridCol w:w="2693"/>
        <w:gridCol w:w="2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课程模块</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课程名称</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课程目标</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主要内容</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1</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思想道德与法治</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落实高校立德树人根本任务，打牢大学生成长成才的科学思想基础，引导大学生树立正确的世界观、人生观、价值观、道德观和法治观，提升思想道德素质和法治素养，提升大学生对思想政治理论课的获得感。</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马克思主义为指导，以习近平新时代中国特色社会主义思想为价值取向，以正确的世界观、人生观、价值观、道德观、法制观教育为主要内容，引导新时代青年大学生坚定理想信念，忠诚爱国，弘扬中国精神、自觉践行社会主义核心价值观。</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严格落实《新时代高校思想政治理论课教学工作基本要求》，课堂教学为主，网络教学为辅，中班、小班授课，创新备课形式，综合运用多种教学方法手段，理论学习和实践体验相结合。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2</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毛泽东思想和中国特色社会主义理论体系概论</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对大学生进行系统的马克思主义理论教育，巩固马克思主义在高校意识形态领域指导地位，实现习近平新时代中国特色社会主义思想和党的十九大精神三进，培养担当民族复兴大任的时代新人。</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中国特色社会主义发展的历史轨迹，坚持不懈传播马克思主义科学理论尤其是习近平新时代中国特色社会主义思想基本理论，实现习近平新时代中国特色社会主义思想进教材进课堂进学生头脑，提高青年大学生政治思维、政治站位和政治定力，引导青年为新时代社会主义伟大民族复兴努力奋斗。</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严格落实《新时代高校思想政治理论课教学工作基本要求》，课堂教学为主，网络教学为辅，中班、小班授课，创新备课形式，综合运用多种教学方法手段。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3</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形势与政策</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帮助大学生正确认识新时代国内外形势，深刻领会党的十八大以来党和国家事业取得的历史性成就、发生的历史性变革、面临的历史性机遇和挑战，第一时间推动党的理论创新成果进教材进课堂进学生头脑，引导大学生准确理解党的基本理论、基本路线、基本方略。</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的理论创新最新成果，新时代坚持和发展中国特色社会主义的生动实践，全面从严治党专题，党的政治建设、思想建设、组织建设、作风建设、纪律建设以及贯穿其中的制度建设的新举措新成效，我国经济社会发展，党中央关于经济建设、政治建设、文化建设、社会建设、生态文明建设的新决策新部署；港澳台工作和国际形势。</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通过教学，引导学生正确认识世界和中国发展大势，正确认识中国特色和国际比较，正确认识时代责任和历史使命，正确认识远大抱负和脚踏实地。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562"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sz w:val="24"/>
                <w:szCs w:val="24"/>
              </w:rPr>
              <w:t>4</w:t>
            </w:r>
          </w:p>
        </w:tc>
        <w:tc>
          <w:tcPr>
            <w:tcW w:w="128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大学英语</w:t>
            </w:r>
          </w:p>
        </w:tc>
        <w:tc>
          <w:tcPr>
            <w:tcW w:w="2410"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使学生掌握良好的语言学习方法，具有一定的听、说、读、写的能力，激发学生学习英语的兴趣，了解东西方文化差异。</w:t>
            </w:r>
          </w:p>
        </w:tc>
        <w:tc>
          <w:tcPr>
            <w:tcW w:w="269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模拟真实的工作任务，阅读和撰写函电、电子邮件等应用文本，培养学生的实践、参与和创新能力。将英语口语用于医学工作，为与西方的医疗交流奠定一定基础。</w:t>
            </w:r>
          </w:p>
        </w:tc>
        <w:tc>
          <w:tcPr>
            <w:tcW w:w="246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能够掌握基础的英语知识，同时，注重口语的练习，将课堂学习与课下生活相结合，提高英语水平。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562"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5</w:t>
            </w:r>
          </w:p>
        </w:tc>
        <w:tc>
          <w:tcPr>
            <w:tcW w:w="1283"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rPr>
              <w:t>公共基础</w:t>
            </w:r>
            <w:r>
              <w:rPr>
                <w:rFonts w:hint="eastAsia" w:ascii="仿宋_GB2312" w:hAnsi="仿宋_GB2312" w:cs="仿宋_GB2312"/>
                <w:sz w:val="24"/>
                <w:szCs w:val="18"/>
                <w:lang w:val="en-US" w:eastAsia="zh-CN"/>
              </w:rPr>
              <w:t>课</w:t>
            </w:r>
          </w:p>
        </w:tc>
        <w:tc>
          <w:tcPr>
            <w:tcW w:w="1189"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习近平新时代中国特色社会主义思想概论</w:t>
            </w:r>
          </w:p>
        </w:tc>
        <w:tc>
          <w:tcPr>
            <w:tcW w:w="2410"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rPr>
              <w:t>坚持马克思主义基本立场、观点和方法，围绕党的二十大报告明确指出的“十个明确”“十四个坚持”“十三个方面成就”等内容体系，科学揭示了习近平新时代中国特色社会主义思想的主要思想和基本精神，科学揭示了新时代我们党治国理政重大原则方针，科学揭示了新时代党的创新指引下党和国家事业取得的历史性成就、发生的历史性变革，体现了理论逻辑、历史逻辑、实践逻辑的有机统一，对于培养兼具科学价值信仰与科学理论涵养的新时代青年意义重大。</w:t>
            </w:r>
          </w:p>
        </w:tc>
        <w:tc>
          <w:tcPr>
            <w:tcW w:w="2693"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sz w:val="24"/>
                <w:szCs w:val="18"/>
                <w:lang w:val="en-US" w:eastAsia="zh-CN"/>
              </w:rPr>
            </w:pPr>
            <w:r>
              <w:rPr>
                <w:rFonts w:hint="eastAsia" w:ascii="仿宋_GB2312" w:hAnsi="仿宋_GB2312" w:eastAsia="仿宋_GB2312" w:cs="仿宋_GB2312"/>
                <w:sz w:val="24"/>
                <w:szCs w:val="18"/>
                <w:lang w:val="en-US" w:eastAsia="zh-CN"/>
              </w:rPr>
              <w:t>本课程的主要内容包括习近平新时代中国特色社会主义思想的形成背景、发展脉络、理论创新和实践成果。</w:t>
            </w:r>
            <w:r>
              <w:rPr>
                <w:rFonts w:hint="eastAsia" w:ascii="仿宋_GB2312" w:hAnsi="仿宋_GB2312" w:cs="仿宋_GB2312"/>
                <w:sz w:val="24"/>
                <w:szCs w:val="18"/>
                <w:lang w:val="en-US" w:eastAsia="zh-CN"/>
              </w:rPr>
              <w:t>同时包含</w:t>
            </w:r>
            <w:r>
              <w:rPr>
                <w:rFonts w:hint="eastAsia" w:ascii="仿宋_GB2312" w:hAnsi="仿宋_GB2312" w:eastAsia="仿宋_GB2312" w:cs="仿宋_GB2312"/>
                <w:sz w:val="24"/>
                <w:szCs w:val="18"/>
                <w:lang w:val="en-US" w:eastAsia="zh-CN"/>
              </w:rPr>
              <w:t>习近平新时代中国特色社会主义思想的基本原理、基本方略和基本要求，包括坚持党的全面领导、坚持中国特色社会主义道路、坚持人民主体地位、坚持全面深化改革、坚持全面依法治国、坚持社会主义核心价值观等重要内容。这些思想是中国共产党领导中国人民长期奋斗的科学指南，是中国特色社会主义事业的行动指南，对于实现中华民族伟大复兴具有重要意义。</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p>
        </w:tc>
        <w:tc>
          <w:tcPr>
            <w:tcW w:w="2468" w:type="dxa"/>
            <w:tcBorders>
              <w:top w:val="single" w:color="auto" w:sz="4" w:space="0"/>
              <w:left w:val="single" w:color="auto" w:sz="4" w:space="0"/>
              <w:right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both"/>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18"/>
                <w:lang w:val="en-US" w:eastAsia="zh-CN"/>
              </w:rPr>
              <w:t>在教学过程中，应坚持以马克思列宁主义、毛泽东思想、邓小平理论、“三个代表”重要思想、科学发展观、习近平新时代中国特色社会主义思想为指导，深入贯彻落实党的二十大精神，确保教学内容的政治性、思想性、理论性和时代性。采取灵活多样的教学方法和手段，激发学生的学习兴趣和积极性，注重理论与实践相结合，培养学生的创新思维和实践能力。同时，还应加强对学生的思想政治教育，引导学生树立正确的世界观、人生观和价值观，坚定理想信念，为实现中华民族伟大复兴的中国梦贡献青春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6</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计算机应用基础</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）掌握计算机的基础知识和基本概念；了解微机硬件系统的基本组成；了解操作系统的功能，掌握</w:t>
            </w:r>
            <w:r>
              <w:rPr>
                <w:rFonts w:hint="default" w:ascii="Times New Roman" w:hAnsi="Times New Roman" w:eastAsia="仿宋_GB2312" w:cs="Times New Roman"/>
                <w:sz w:val="24"/>
                <w:szCs w:val="24"/>
              </w:rPr>
              <w:t>Windows7</w:t>
            </w:r>
            <w:r>
              <w:rPr>
                <w:rFonts w:hint="eastAsia" w:ascii="仿宋_GB2312" w:hAnsi="仿宋_GB2312" w:eastAsia="仿宋_GB2312" w:cs="仿宋_GB2312"/>
                <w:sz w:val="24"/>
                <w:szCs w:val="24"/>
              </w:rPr>
              <w:t>的基本操作方法</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）熟练使用微软</w:t>
            </w:r>
            <w:r>
              <w:rPr>
                <w:rFonts w:hint="default" w:ascii="Times New Roman" w:hAnsi="Times New Roman" w:eastAsia="仿宋_GB2312" w:cs="Times New Roman"/>
                <w:sz w:val="24"/>
                <w:szCs w:val="24"/>
              </w:rPr>
              <w:t>Office2010</w:t>
            </w:r>
            <w:r>
              <w:rPr>
                <w:rFonts w:hint="eastAsia" w:ascii="仿宋_GB2312" w:hAnsi="仿宋_GB2312" w:eastAsia="仿宋_GB2312" w:cs="仿宋_GB2312"/>
                <w:sz w:val="24"/>
                <w:szCs w:val="24"/>
              </w:rPr>
              <w:t>软件如：</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等</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）掌握计算机信息技术安全知识和病毒的防治知识</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）计算机网络的基础知识及</w:t>
            </w:r>
            <w:r>
              <w:rPr>
                <w:rFonts w:hint="default" w:ascii="Times New Roman" w:hAnsi="Times New Roman" w:eastAsia="仿宋_GB2312" w:cs="Times New Roman"/>
                <w:sz w:val="24"/>
                <w:szCs w:val="24"/>
              </w:rPr>
              <w:t>Internet</w:t>
            </w:r>
            <w:r>
              <w:rPr>
                <w:rFonts w:hint="eastAsia" w:ascii="仿宋_GB2312" w:hAnsi="仿宋_GB2312" w:eastAsia="仿宋_GB2312" w:cs="仿宋_GB2312"/>
                <w:sz w:val="24"/>
                <w:szCs w:val="24"/>
              </w:rPr>
              <w:t>网的基本操作</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）计算机的基础知识</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Windows</w:t>
            </w:r>
            <w:r>
              <w:rPr>
                <w:rFonts w:hint="eastAsia" w:ascii="仿宋_GB2312" w:hAnsi="仿宋_GB2312" w:eastAsia="仿宋_GB2312" w:cs="仿宋_GB2312"/>
                <w:sz w:val="24"/>
                <w:szCs w:val="24"/>
              </w:rPr>
              <w:t>基本操作</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）文字处理软件</w:t>
            </w:r>
            <w:r>
              <w:rPr>
                <w:rFonts w:hint="default" w:ascii="Times New Roman" w:hAnsi="Times New Roman" w:eastAsia="仿宋_GB2312" w:cs="Times New Roman"/>
                <w:sz w:val="24"/>
                <w:szCs w:val="24"/>
              </w:rPr>
              <w:t>Word2010</w:t>
            </w:r>
            <w:r>
              <w:rPr>
                <w:rFonts w:hint="eastAsia" w:ascii="仿宋_GB2312" w:hAnsi="仿宋_GB2312" w:eastAsia="仿宋_GB2312" w:cs="仿宋_GB2312"/>
                <w:sz w:val="24"/>
                <w:szCs w:val="24"/>
              </w:rPr>
              <w:t>使用</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）电子表格软件</w:t>
            </w:r>
            <w:r>
              <w:rPr>
                <w:rFonts w:hint="default" w:ascii="Times New Roman" w:hAnsi="Times New Roman" w:eastAsia="仿宋_GB2312" w:cs="Times New Roman"/>
                <w:sz w:val="24"/>
                <w:szCs w:val="24"/>
              </w:rPr>
              <w:t>Excel2010</w:t>
            </w:r>
            <w:r>
              <w:rPr>
                <w:rFonts w:hint="eastAsia" w:ascii="仿宋_GB2312" w:hAnsi="仿宋_GB2312" w:eastAsia="仿宋_GB2312" w:cs="仿宋_GB2312"/>
                <w:sz w:val="24"/>
                <w:szCs w:val="24"/>
              </w:rPr>
              <w:t>的使用</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）幻灯片制作软件</w:t>
            </w:r>
            <w:r>
              <w:rPr>
                <w:rFonts w:hint="default" w:ascii="Times New Roman" w:hAnsi="Times New Roman" w:eastAsia="仿宋_GB2312" w:cs="Times New Roman"/>
                <w:sz w:val="24"/>
                <w:szCs w:val="24"/>
              </w:rPr>
              <w:t>Power</w:t>
            </w:r>
            <w:r>
              <w:rPr>
                <w:rFonts w:hint="eastAsia" w:ascii="仿宋_GB2312" w:hAnsi="仿宋_GB2312" w:eastAsia="仿宋_GB2312" w:cs="仿宋_GB2312"/>
                <w:sz w:val="24"/>
                <w:szCs w:val="24"/>
              </w:rPr>
              <w:t xml:space="preserve"> </w:t>
            </w:r>
            <w:r>
              <w:rPr>
                <w:rFonts w:hint="default" w:ascii="Times New Roman" w:hAnsi="Times New Roman" w:eastAsia="仿宋_GB2312" w:cs="Times New Roman"/>
                <w:sz w:val="24"/>
                <w:szCs w:val="24"/>
              </w:rPr>
              <w:t>point2010</w:t>
            </w:r>
            <w:r>
              <w:rPr>
                <w:rFonts w:hint="eastAsia" w:ascii="仿宋_GB2312" w:hAnsi="仿宋_GB2312" w:eastAsia="仿宋_GB2312" w:cs="仿宋_GB2312"/>
                <w:sz w:val="24"/>
                <w:szCs w:val="24"/>
              </w:rPr>
              <w:t>的操作</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6</w:t>
            </w:r>
            <w:r>
              <w:rPr>
                <w:rFonts w:hint="eastAsia" w:ascii="仿宋_GB2312" w:hAnsi="仿宋_GB2312" w:eastAsia="仿宋_GB2312" w:cs="仿宋_GB2312"/>
                <w:sz w:val="24"/>
                <w:szCs w:val="24"/>
              </w:rPr>
              <w:t>）计算机的网络及安全处理</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教学指导思想是在有限的时间内精讲多练，培养学生的实际动手能力，自学能力、开拓创新能力和综合处理能力。理论学时和上机学时的比例设置为</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，让学生有更多的时间练习操作性的知识。通过实验指导给出详细的操作步骤。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7</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应用文写作</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学习，使学生认识应用写作在现实工作生活中的作用，了解应用文的概念、文种特点、结构、语体特征和表达方式，掌握常用文体的含义特点、结构、写法和写作要求，培养学生具备基本的应用写作知识，拥有各专业需要的应用文写作能力</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)能够正确理解应用文所传递的信息</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)能够准确使用应用文，具有写作常用公文、事务文书、宣传报道类应用文、经贸广告类应用文、科技类应用文、书信笔记类应用文、社交礼仪类应用文和与专业相关的应用文的能力</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)通过完成写作训练，锻炼与提高语言表达能力和分析解决题能力。</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通过本课程的开设，引导学生了解和认识应用文的实际用途，掌握常用应用文文种的写作，根据不同专业要求，选择使用相应的应用文文种，具备良好的语言表达能力。</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8</w:t>
            </w:r>
          </w:p>
        </w:tc>
        <w:tc>
          <w:tcPr>
            <w:tcW w:w="128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党史（四史类）</w:t>
            </w:r>
          </w:p>
        </w:tc>
        <w:tc>
          <w:tcPr>
            <w:tcW w:w="2410"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通过本门课程的学习，掌握中共党史的发展脉络、取得的伟大功绩和成功经验等基本知识，提高分析问题解决问题的能力，培养与本专业相应的政治素质。</w:t>
            </w:r>
          </w:p>
        </w:tc>
        <w:tc>
          <w:tcPr>
            <w:tcW w:w="269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包括：中国共产党的创立时期、国共合作的大革命时期、土地革命战争时期、抗日战争时期、全国解放战争时期、从新民主主义向社会主义的转变时期、开始全面建设社会主义时期、“文化大革命”时期、建设有中国特色社会主义的新时期。</w:t>
            </w:r>
          </w:p>
        </w:tc>
        <w:tc>
          <w:tcPr>
            <w:tcW w:w="246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学生通过本课程的学习，掌握中国共产党发展的历史，掌握马克思主义与中国革命、建设和改革实践相结合形成的毛泽东思想、邓小平理论和“三个代表”重要思想。通过教学，使同学们进一步认识没有共产党就没有新中国，只有社会主义才能救中国，并进一步提高学生联系实际、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9</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高等数学</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本课程是为理工类各专业学生开设的一门重要基础课程。</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掌握数学工具的主要课程,是培养学生理性思维的重要载体</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通过学习使学生掌握相关的基础知识、基本理论,有较熟练的运算技能,并能运用数学分析的方法和原理解决实际问题， 以培养高科技应用型人才,为经济社会服务。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10</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公共基础</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大学生心理健康教育</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以“健康”为依据的大学生心理健康维持性目标；以“成长”为核心的大学生心理发展性目标；以“幸福”为目的的大学生心理素质指导性目标；以“成才”为要旨的大学生心理引导性目标。</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1</w:t>
            </w:r>
            <w:r>
              <w:rPr>
                <w:rFonts w:hint="eastAsia" w:ascii="仿宋_GB2312" w:hAnsi="仿宋_GB2312" w:eastAsia="仿宋_GB2312" w:cs="仿宋_GB2312"/>
                <w:sz w:val="24"/>
                <w:szCs w:val="24"/>
              </w:rPr>
              <w:t>）心理健康维护</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2</w:t>
            </w:r>
            <w:r>
              <w:rPr>
                <w:rFonts w:hint="eastAsia" w:ascii="仿宋_GB2312" w:hAnsi="仿宋_GB2312" w:eastAsia="仿宋_GB2312" w:cs="仿宋_GB2312"/>
                <w:sz w:val="24"/>
                <w:szCs w:val="24"/>
              </w:rPr>
              <w:t>）心理发展成熟</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3</w:t>
            </w:r>
            <w:r>
              <w:rPr>
                <w:rFonts w:hint="eastAsia" w:ascii="仿宋_GB2312" w:hAnsi="仿宋_GB2312" w:eastAsia="仿宋_GB2312" w:cs="仿宋_GB2312"/>
                <w:sz w:val="24"/>
                <w:szCs w:val="24"/>
              </w:rPr>
              <w:t>）心理素质培养</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4</w:t>
            </w:r>
            <w:r>
              <w:rPr>
                <w:rFonts w:hint="eastAsia" w:ascii="仿宋_GB2312" w:hAnsi="仿宋_GB2312" w:eastAsia="仿宋_GB2312" w:cs="仿宋_GB2312"/>
                <w:sz w:val="24"/>
                <w:szCs w:val="24"/>
              </w:rPr>
              <w:t>）积极人格铸造</w:t>
            </w:r>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default" w:ascii="Times New Roman" w:hAnsi="Times New Roman" w:eastAsia="仿宋_GB2312" w:cs="Times New Roman"/>
                <w:sz w:val="24"/>
                <w:szCs w:val="24"/>
              </w:rPr>
              <w:t>5</w:t>
            </w:r>
            <w:r>
              <w:rPr>
                <w:rFonts w:hint="eastAsia" w:ascii="仿宋_GB2312" w:hAnsi="仿宋_GB2312" w:eastAsia="仿宋_GB2312" w:cs="仿宋_GB2312"/>
                <w:sz w:val="24"/>
                <w:szCs w:val="24"/>
              </w:rPr>
              <w:t>）大学生心理素质</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分十四个专题开展教学，采用案例分析、课堂讨论、心理训练等多种教学形式，努力建构教师指导下的“互动--领悟--提高”教学模式。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11</w:t>
            </w:r>
          </w:p>
        </w:tc>
        <w:tc>
          <w:tcPr>
            <w:tcW w:w="1283"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建筑工程制图与识图</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培养学生的空间想象能力和思维能力；</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掌握立体的三面投影画法、轴侧投影等的基本原理和方法、剖视图和剖面图的画法;了解建筑施工图和建筑结构图的图示内容、建筑工程图的种类、特点,掌握建筑施工图和建筑结构图的画法;能正确识读建筑施工图、结构施工图、设备施工图、装饰施工图和钢筋结构图</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具有对房屋建筑构造的认知能力以及工程图样在实际中的绘图和读图的能力,适应专业岗位需求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12</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建筑材料与检测</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通过本课程的学习，让学生掌握常用的建筑材料的性质及检测方法，掌握材料的特性及应用。</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对混凝土及建筑工程中所用原材料，如水泥、砂、石、外加剂、掺合料、钢材、墙体材料等进行物理性质、化学性能、力学性能等进行检测的能力；能够根据混凝土原材料试验结果及设计要求进行混凝士配合比设计等。</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能够进行配合比设计方法及检测，能够进行混凝土强度等级的评定，能够进行各原材料的试验检测。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13</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房屋建筑构造</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通过本课程的学习，培养学生的空间想象能力和思维能力。</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通过本课程的学习，培养学生的空间想象能力和思维能力。</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具有对房屋建筑构造的认知能力以及工程图样在实际中的绘图和读图的能力,适应专业岗位需求。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14</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建筑</w:t>
            </w:r>
            <w:r>
              <w:rPr>
                <w:rFonts w:hint="default" w:ascii="Times New Roman" w:hAnsi="Times New Roman" w:eastAsia="仿宋_GB2312" w:cs="Times New Roman"/>
                <w:bCs/>
                <w:color w:val="000000"/>
                <w:kern w:val="0"/>
                <w:sz w:val="24"/>
                <w:szCs w:val="24"/>
              </w:rPr>
              <w:t>CAD</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理解制图的基本知识，掌握绘图的基本技能。</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 理解并掌握常用绘图命令和编辑命令；掌握基本体、切割体、相贯体、组合体的三视围画图方法及尺寸标注；掌握中等复杂程度零件图的画图方法、熟练运用图块操作和快速引线命令完成相关技术要求的标注。</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考取中级制图员证书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15</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bCs/>
                <w:color w:val="000000"/>
                <w:kern w:val="0"/>
                <w:sz w:val="24"/>
                <w:szCs w:val="24"/>
              </w:rPr>
            </w:pPr>
            <w:r>
              <w:rPr>
                <w:rFonts w:hint="eastAsia" w:ascii="仿宋_GB2312" w:hAnsi="仿宋_GB2312" w:eastAsia="仿宋_GB2312" w:cs="仿宋_GB2312"/>
                <w:bCs/>
                <w:color w:val="000000"/>
                <w:kern w:val="0"/>
                <w:sz w:val="24"/>
                <w:szCs w:val="24"/>
              </w:rPr>
              <w:t>建筑工程测量</w:t>
            </w: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通过本课程的学习，使学生具有水准仪、经纬仪、全站仪三种基本测量仪器的使用和检验及校正能力。</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了解测绘新技术在建筑工程测量中的应用及发展动向能正确选用测量器具和测量方法进行建筑施工中的测量放线工作。</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通过学习，获取测量放线工(中级)职业资格证书。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16</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工程招投标与合同管理</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本课程是建筑工程技术专业的一门必修课。</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熟悉建设工程招投标与合同管理的相关法律法规程序，并运用相关的法律法规程序来规范建设工程的相关管理工作，使建设工程能按照法定的程序健康、有序的进行。</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保护各方的合法权益，减少或杜绝建设工程腐败的产生。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17</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建筑施工技术</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研究建筑工程施工技术的一般规律， 建筑施工各主要工种工程的施工技术、工艺原理以及建筑施工新技术、新工艺的发展方向。</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了解掌握建筑工程中各主要工种工程的施工技术及工艺原理，突出施工员职业岗位能力的培养，培养学生独立分析和解决建筑工程施工中有关施工技术问题的基本能力。</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能取得施工员或质量员职业岗位证书；能运用施工技术分析施工问题和解决问题；能对施工质量和施工安全实施监控；会编制工程施工技术报告。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napToGrid w:val="0"/>
                <w:color w:val="000000"/>
                <w:kern w:val="2"/>
                <w:sz w:val="24"/>
                <w:szCs w:val="24"/>
                <w:lang w:val="en-US" w:eastAsia="zh-CN" w:bidi="ar-SA"/>
              </w:rPr>
            </w:pPr>
            <w:r>
              <w:rPr>
                <w:rFonts w:hint="default" w:ascii="Times New Roman" w:hAnsi="Times New Roman" w:eastAsia="仿宋_GB2312" w:cs="Times New Roman"/>
                <w:sz w:val="24"/>
                <w:szCs w:val="24"/>
              </w:rPr>
              <w:t>18</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w:t>
            </w:r>
            <w:r>
              <w:rPr>
                <w:rFonts w:hint="eastAsia" w:ascii="仿宋_GB2312" w:hAnsi="仿宋_GB2312" w:cs="仿宋_GB2312"/>
                <w:sz w:val="24"/>
                <w:szCs w:val="24"/>
                <w:lang w:val="en-US" w:eastAsia="zh-CN"/>
              </w:rPr>
              <w:t>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default" w:ascii="Times New Roman" w:hAnsi="Times New Roman" w:eastAsia="仿宋_GB2312" w:cs="Times New Roman"/>
                <w:bCs/>
                <w:color w:val="000000"/>
                <w:kern w:val="0"/>
                <w:sz w:val="24"/>
                <w:szCs w:val="24"/>
              </w:rPr>
              <w:t>BIM</w:t>
            </w:r>
            <w:r>
              <w:rPr>
                <w:rFonts w:hint="eastAsia" w:ascii="仿宋_GB2312" w:hAnsi="仿宋_GB2312" w:eastAsia="仿宋_GB2312" w:cs="仿宋_GB2312"/>
                <w:bCs/>
                <w:color w:val="000000"/>
                <w:kern w:val="0"/>
                <w:sz w:val="24"/>
                <w:szCs w:val="24"/>
              </w:rPr>
              <w:t>建模及应用基础</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一门实践性及综合性强的课程。</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掌握建筑施工图、结构施工图、建筑详图、建筑材料建筑及结构相关制图规范的基本技术要求。</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具有按照建筑施工图，结构施工图，建筑模型进行施工的能力；具有按照建筑施工图，结构施工图，建筑模型进行施工的能力。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kern w:val="2"/>
                <w:sz w:val="24"/>
                <w:szCs w:val="24"/>
                <w:lang w:val="en-US" w:eastAsia="zh-CN" w:bidi="ar-SA"/>
              </w:rPr>
            </w:pPr>
            <w:r>
              <w:rPr>
                <w:rFonts w:hint="default" w:ascii="Times New Roman" w:hAnsi="Times New Roman" w:eastAsia="仿宋_GB2312" w:cs="Times New Roman"/>
                <w:sz w:val="24"/>
                <w:szCs w:val="24"/>
                <w:lang w:val="en-US" w:eastAsia="zh-CN"/>
              </w:rPr>
              <w:t>19</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Times New Roman" w:hAnsi="宋体"/>
                <w:sz w:val="18"/>
                <w:szCs w:val="18"/>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建筑工程监理</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掌握建筑工程各阶段的监理内容、掌握与建筑工程监理相关的法律法规、能够自行完成监理工程文件编制等。</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建筑监理的基本理论知识、建筑监理施工阶段的质量监理和安全监理。</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结合施工项目实际需要编制各类型监理文件、施工现场监理、项目参与各方间的组织协调、能够具备相关的自行学习能力。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lang w:val="en-US" w:eastAsia="zh-CN"/>
              </w:rPr>
            </w:pPr>
            <w:r>
              <w:rPr>
                <w:rFonts w:hint="default" w:ascii="Times New Roman" w:hAnsi="Times New Roman" w:eastAsia="仿宋_GB2312" w:cs="Times New Roman"/>
                <w:sz w:val="24"/>
                <w:szCs w:val="24"/>
                <w:lang w:val="en-US" w:eastAsia="zh-CN"/>
              </w:rPr>
              <w:t>20</w:t>
            </w:r>
          </w:p>
        </w:tc>
        <w:tc>
          <w:tcPr>
            <w:tcW w:w="12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Times New Roman" w:hAnsi="宋体"/>
                <w:sz w:val="18"/>
                <w:szCs w:val="18"/>
              </w:rPr>
              <w:t>职业能力拓展课</w:t>
            </w:r>
          </w:p>
        </w:tc>
        <w:tc>
          <w:tcPr>
            <w:tcW w:w="11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Cs/>
                <w:color w:val="000000"/>
                <w:kern w:val="0"/>
                <w:sz w:val="24"/>
                <w:szCs w:val="24"/>
              </w:rPr>
              <w:t>建筑施工组织与管理</w:t>
            </w:r>
          </w:p>
        </w:tc>
        <w:tc>
          <w:tcPr>
            <w:tcW w:w="24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研究建筑施工组织的一般规律，内业管理的内容及方法。</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掌握流水施工原理、网络计划技术；掌握施工组织设计的内容和编制方法；具备施工组织管理的初步能力；具有编制单位工程施工组织设计的能力；掌握施工内业管理的程序、方法。</w:t>
            </w:r>
          </w:p>
        </w:tc>
        <w:tc>
          <w:tcPr>
            <w:tcW w:w="24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pacing w:line="4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具有编制单位工程施工组织设计的能力，掌握施工内业管理的程序、方法，毕业后能直接进行组织管理、内业管理工作。</w:t>
            </w:r>
          </w:p>
        </w:tc>
      </w:tr>
    </w:tbl>
    <w:p>
      <w:pPr>
        <w:spacing w:line="400" w:lineRule="exact"/>
        <w:jc w:val="left"/>
        <w:rPr>
          <w:rFonts w:eastAsia="方正黑体简体"/>
          <w:sz w:val="24"/>
        </w:rPr>
      </w:pPr>
    </w:p>
    <w:p>
      <w:pPr>
        <w:pStyle w:val="4"/>
        <w:bidi w:val="0"/>
      </w:pPr>
      <w:r>
        <w:rPr>
          <w:rFonts w:hint="eastAsia"/>
          <w:lang w:eastAsia="zh-CN"/>
        </w:rPr>
        <w:t>（</w:t>
      </w:r>
      <w:r>
        <w:rPr>
          <w:rFonts w:hint="eastAsia"/>
          <w:lang w:val="en-US" w:eastAsia="zh-CN"/>
        </w:rPr>
        <w:t>二</w:t>
      </w:r>
      <w:r>
        <w:rPr>
          <w:rFonts w:hint="eastAsia"/>
          <w:lang w:eastAsia="zh-CN"/>
        </w:rPr>
        <w:t>）</w:t>
      </w:r>
      <w:r>
        <w:rPr>
          <w:rFonts w:hint="eastAsia"/>
        </w:rPr>
        <w:t>课程设置</w:t>
      </w:r>
    </w:p>
    <w:p>
      <w:pPr>
        <w:bidi w:val="0"/>
      </w:pPr>
      <w:r>
        <w:rPr>
          <w:rFonts w:hint="eastAsia"/>
          <w:b/>
          <w:bCs/>
        </w:rPr>
        <w:t>主要课程：</w:t>
      </w:r>
      <w:r>
        <w:rPr>
          <w:rFonts w:hint="eastAsia"/>
        </w:rPr>
        <w:t>混凝土结构工程施工、建筑工程测量、房屋建筑构造、建筑材料、建筑施工技术、建筑施工组织与管理、建筑工程计量与计价、建筑工程监理等。</w:t>
      </w:r>
    </w:p>
    <w:p>
      <w:pPr>
        <w:pStyle w:val="4"/>
        <w:bidi w:val="0"/>
        <w:rPr>
          <w:rFonts w:hint="eastAsia"/>
        </w:rPr>
      </w:pPr>
      <w:r>
        <w:rPr>
          <w:rFonts w:hint="eastAsia"/>
          <w:lang w:eastAsia="zh-CN"/>
        </w:rPr>
        <w:t>（</w:t>
      </w:r>
      <w:r>
        <w:rPr>
          <w:rFonts w:hint="eastAsia"/>
          <w:lang w:val="en-US" w:eastAsia="zh-CN"/>
        </w:rPr>
        <w:t>三</w:t>
      </w:r>
      <w:r>
        <w:rPr>
          <w:rFonts w:hint="eastAsia"/>
          <w:lang w:eastAsia="zh-CN"/>
        </w:rPr>
        <w:t>）</w:t>
      </w:r>
      <w:r>
        <w:rPr>
          <w:rFonts w:hint="eastAsia"/>
        </w:rPr>
        <w:t>教学（学习）方式</w:t>
      </w:r>
    </w:p>
    <w:p>
      <w:pPr>
        <w:bidi w:val="0"/>
      </w:pPr>
      <w:r>
        <w:rPr>
          <w:rFonts w:hint="eastAsia"/>
        </w:rPr>
        <w:t>线上</w:t>
      </w:r>
      <w:r>
        <w:rPr>
          <w:rFonts w:hint="eastAsia"/>
          <w:lang w:val="en-US" w:eastAsia="zh-CN"/>
        </w:rPr>
        <w:t>+面授</w:t>
      </w:r>
    </w:p>
    <w:p>
      <w:pPr>
        <w:pStyle w:val="4"/>
        <w:bidi w:val="0"/>
        <w:rPr>
          <w:rFonts w:hint="eastAsia"/>
        </w:rPr>
      </w:pPr>
      <w:r>
        <w:rPr>
          <w:rFonts w:hint="eastAsia"/>
          <w:lang w:eastAsia="zh-CN"/>
        </w:rPr>
        <w:t>（</w:t>
      </w:r>
      <w:r>
        <w:rPr>
          <w:rFonts w:hint="eastAsia"/>
          <w:lang w:val="en-US" w:eastAsia="zh-CN"/>
        </w:rPr>
        <w:t>四</w:t>
      </w:r>
      <w:r>
        <w:rPr>
          <w:rFonts w:hint="eastAsia"/>
          <w:lang w:eastAsia="zh-CN"/>
        </w:rPr>
        <w:t>）</w:t>
      </w:r>
      <w:r>
        <w:rPr>
          <w:rFonts w:hint="eastAsia"/>
        </w:rPr>
        <w:t>课程考核：</w:t>
      </w:r>
    </w:p>
    <w:p>
      <w:pPr>
        <w:bidi w:val="0"/>
        <w:rPr>
          <w:rFonts w:hint="eastAsia"/>
        </w:rPr>
      </w:pPr>
      <w:r>
        <w:rPr>
          <w:rFonts w:hint="eastAsia"/>
          <w:b/>
          <w:bCs/>
          <w:lang w:val="en-US" w:eastAsia="zh-CN"/>
        </w:rPr>
        <w:t>考核要求：</w:t>
      </w:r>
      <w:r>
        <w:rPr>
          <w:rFonts w:hint="eastAsia"/>
          <w:lang w:val="en-US" w:eastAsia="zh-CN"/>
        </w:rPr>
        <w:t>公共基础课与专业课的期末考试均为闭卷考试，将过程性考核（平时成绩）与综结性考核（期末考试）相结合，比例设置为：最终成绩=平时成绩*</w:t>
      </w:r>
      <w:r>
        <w:rPr>
          <w:rFonts w:hint="default" w:ascii="Times New Roman" w:hAnsi="Times New Roman" w:cs="Times New Roman"/>
          <w:lang w:val="en-US" w:eastAsia="zh-CN"/>
        </w:rPr>
        <w:t>50</w:t>
      </w:r>
      <w:r>
        <w:rPr>
          <w:rFonts w:hint="eastAsia"/>
          <w:lang w:val="en-US" w:eastAsia="zh-CN"/>
        </w:rPr>
        <w:t>%+期末考试*</w:t>
      </w:r>
      <w:r>
        <w:rPr>
          <w:rFonts w:hint="default" w:ascii="Times New Roman" w:hAnsi="Times New Roman" w:cs="Times New Roman"/>
          <w:lang w:val="en-US" w:eastAsia="zh-CN"/>
        </w:rPr>
        <w:t>50</w:t>
      </w:r>
      <w:r>
        <w:rPr>
          <w:rFonts w:hint="eastAsia"/>
          <w:lang w:val="en-US" w:eastAsia="zh-CN"/>
        </w:rPr>
        <w:t>%(具体比例可根据个课程特点微调，切记期末考试不得少于</w:t>
      </w:r>
      <w:r>
        <w:rPr>
          <w:rFonts w:hint="default" w:ascii="Times New Roman" w:hAnsi="Times New Roman" w:cs="Times New Roman"/>
          <w:lang w:val="en-US" w:eastAsia="zh-CN"/>
        </w:rPr>
        <w:t>40</w:t>
      </w:r>
      <w:r>
        <w:rPr>
          <w:rFonts w:hint="eastAsia"/>
          <w:lang w:val="en-US" w:eastAsia="zh-CN"/>
        </w:rPr>
        <w:t>%)。</w:t>
      </w:r>
    </w:p>
    <w:p>
      <w:pPr>
        <w:pStyle w:val="3"/>
        <w:bidi w:val="0"/>
      </w:pPr>
      <w:r>
        <w:rPr>
          <w:rFonts w:hint="eastAsia"/>
        </w:rPr>
        <w:t>六、支持服务能力</w:t>
      </w:r>
    </w:p>
    <w:p>
      <w:pPr>
        <w:pStyle w:val="4"/>
        <w:bidi w:val="0"/>
      </w:pPr>
      <w:r>
        <w:rPr>
          <w:rFonts w:hint="eastAsia"/>
        </w:rPr>
        <w:t>（一）师资队伍</w:t>
      </w:r>
    </w:p>
    <w:p>
      <w:pPr>
        <w:bidi w:val="0"/>
      </w:pPr>
      <w:r>
        <w:rPr>
          <w:rFonts w:hint="default" w:ascii="Times New Roman" w:hAnsi="Times New Roman" w:cs="Times New Roman"/>
        </w:rPr>
        <w:t>1</w:t>
      </w:r>
      <w:r>
        <w:rPr>
          <w:rFonts w:hint="eastAsia"/>
        </w:rPr>
        <w:t>.队伍结构</w:t>
      </w:r>
    </w:p>
    <w:p>
      <w:pPr>
        <w:bidi w:val="0"/>
      </w:pPr>
      <w:r>
        <w:rPr>
          <w:rFonts w:hint="eastAsia"/>
        </w:rPr>
        <w:t>专任教师具有本专业本科及以上学历，且具有两年以上企业工作经历。兼职教师是来自行业、企业一线的高水平专业技术人员或能工巧匠，具有高级技术职务。</w:t>
      </w:r>
    </w:p>
    <w:p>
      <w:pPr>
        <w:bidi w:val="0"/>
      </w:pPr>
      <w:r>
        <w:rPr>
          <w:rFonts w:hint="default" w:ascii="Times New Roman" w:hAnsi="Times New Roman" w:cs="Times New Roman"/>
        </w:rPr>
        <w:t>2</w:t>
      </w:r>
      <w:r>
        <w:rPr>
          <w:rFonts w:hint="eastAsia"/>
        </w:rPr>
        <w:t>.专任教师</w:t>
      </w:r>
    </w:p>
    <w:p>
      <w:pPr>
        <w:bidi w:val="0"/>
      </w:pPr>
      <w:r>
        <w:rPr>
          <w:rFonts w:hint="eastAsia"/>
        </w:rPr>
        <w:t>专任教师团队中具有硕士学位的教师占专任教师的比例达到</w:t>
      </w:r>
      <w:r>
        <w:rPr>
          <w:rFonts w:hint="default" w:ascii="Times New Roman" w:hAnsi="Times New Roman" w:cs="Times New Roman"/>
        </w:rPr>
        <w:t>25</w:t>
      </w:r>
      <w:r>
        <w:rPr>
          <w:rFonts w:hint="eastAsia"/>
        </w:rPr>
        <w:t>%，高级职称教师不少于</w:t>
      </w:r>
      <w:r>
        <w:rPr>
          <w:rFonts w:hint="default" w:ascii="Times New Roman" w:hAnsi="Times New Roman" w:cs="Times New Roman"/>
        </w:rPr>
        <w:t>20</w:t>
      </w:r>
      <w:r>
        <w:rPr>
          <w:rFonts w:hint="eastAsia"/>
        </w:rPr>
        <w:t>%，获执业（职业）资格证书或教学系列以外职称的教师比例达到</w:t>
      </w:r>
      <w:r>
        <w:rPr>
          <w:rFonts w:hint="default" w:ascii="Times New Roman" w:hAnsi="Times New Roman" w:cs="Times New Roman"/>
        </w:rPr>
        <w:t>30</w:t>
      </w:r>
      <w:r>
        <w:rPr>
          <w:rFonts w:hint="eastAsia"/>
        </w:rPr>
        <w:t>%。</w:t>
      </w:r>
    </w:p>
    <w:p>
      <w:pPr>
        <w:bidi w:val="0"/>
      </w:pPr>
      <w:r>
        <w:rPr>
          <w:rFonts w:hint="default" w:ascii="Times New Roman" w:hAnsi="Times New Roman" w:cs="Times New Roman"/>
        </w:rPr>
        <w:t>3</w:t>
      </w:r>
      <w:r>
        <w:rPr>
          <w:rFonts w:hint="eastAsia"/>
        </w:rPr>
        <w:t>.专业带头人</w:t>
      </w:r>
    </w:p>
    <w:p>
      <w:pPr>
        <w:bidi w:val="0"/>
      </w:pPr>
      <w:r>
        <w:rPr>
          <w:rFonts w:hint="eastAsia"/>
        </w:rPr>
        <w:t>专业带头人</w:t>
      </w:r>
      <w:r>
        <w:rPr>
          <w:rFonts w:hint="default" w:ascii="Times New Roman" w:hAnsi="Times New Roman" w:cs="Times New Roman"/>
        </w:rPr>
        <w:t>1</w:t>
      </w:r>
      <w:r>
        <w:rPr>
          <w:rFonts w:hint="eastAsia"/>
        </w:rPr>
        <w:t>名，“双师型”教师，具有高级职称，并具有较高的教学水平和实践能力，具有行业、企业技术服务或技术研发经历，在本行业及专业领域有较大的影响力。能够主持专业建设规划、教学方案设计、专业建设工作，能够为企业提供技术服务，主持市、地级及以上教学或应用技术科研项目或担任院级及以上精品课程负责人。</w:t>
      </w:r>
    </w:p>
    <w:p>
      <w:pPr>
        <w:pStyle w:val="4"/>
        <w:bidi w:val="0"/>
        <w:rPr>
          <w:rFonts w:ascii="宋体" w:hAnsi="宋体"/>
          <w:bCs/>
          <w:color w:val="000000"/>
          <w:kern w:val="44"/>
        </w:rPr>
      </w:pPr>
      <w:r>
        <w:rPr>
          <w:rFonts w:hint="eastAsia"/>
        </w:rPr>
        <w:t>（二）教学设施</w:t>
      </w:r>
    </w:p>
    <w:p>
      <w:pPr>
        <w:bidi w:val="0"/>
      </w:pPr>
      <w:r>
        <w:rPr>
          <w:rFonts w:hint="default" w:ascii="Times New Roman" w:hAnsi="Times New Roman" w:cs="Times New Roman"/>
        </w:rPr>
        <w:t>1</w:t>
      </w:r>
      <w:r>
        <w:rPr>
          <w:rFonts w:hint="eastAsia"/>
        </w:rPr>
        <w:t>、校内实训教学条件</w:t>
      </w:r>
    </w:p>
    <w:p>
      <w:pPr>
        <w:bidi w:val="0"/>
      </w:pPr>
      <w:r>
        <w:rPr>
          <w:rFonts w:hint="eastAsia"/>
        </w:rPr>
        <w:t>本专业校内实训设备及场地按一个教学班（</w:t>
      </w:r>
      <w:r>
        <w:rPr>
          <w:rFonts w:hint="default" w:ascii="Times New Roman" w:hAnsi="Times New Roman" w:cs="Times New Roman"/>
        </w:rPr>
        <w:t>30</w:t>
      </w:r>
      <w:r>
        <w:rPr>
          <w:rFonts w:hint="eastAsia"/>
        </w:rPr>
        <w:t>~</w:t>
      </w:r>
      <w:r>
        <w:rPr>
          <w:rFonts w:hint="default" w:ascii="Times New Roman" w:hAnsi="Times New Roman" w:cs="Times New Roman"/>
        </w:rPr>
        <w:t>40</w:t>
      </w:r>
      <w:r>
        <w:rPr>
          <w:rFonts w:hint="eastAsia"/>
        </w:rPr>
        <w:t xml:space="preserve">人）同时训练计算。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2"/>
        <w:gridCol w:w="893"/>
        <w:gridCol w:w="1222"/>
        <w:gridCol w:w="3766"/>
        <w:gridCol w:w="455"/>
        <w:gridCol w:w="593"/>
        <w:gridCol w:w="991"/>
        <w:gridCol w:w="123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702" w:type="dxa"/>
            <w:tcBorders>
              <w:top w:val="single" w:color="auto" w:sz="4"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r>
              <w:rPr>
                <w:rFonts w:hint="eastAsia" w:ascii="仿宋_GB2312" w:hAnsi="仿宋_GB2312" w:eastAsia="仿宋_GB2312" w:cs="仿宋_GB2312"/>
                <w:kern w:val="0"/>
                <w:sz w:val="15"/>
                <w:szCs w:val="15"/>
              </w:rPr>
              <w:t>序号</w:t>
            </w:r>
          </w:p>
        </w:tc>
        <w:tc>
          <w:tcPr>
            <w:tcW w:w="893"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实践教学项目</w:t>
            </w:r>
          </w:p>
        </w:tc>
        <w:tc>
          <w:tcPr>
            <w:tcW w:w="1222"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实训任务</w:t>
            </w:r>
          </w:p>
        </w:tc>
        <w:tc>
          <w:tcPr>
            <w:tcW w:w="3766"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主要实训设备（设施）名称</w:t>
            </w:r>
          </w:p>
        </w:tc>
        <w:tc>
          <w:tcPr>
            <w:tcW w:w="455"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单位</w:t>
            </w:r>
          </w:p>
        </w:tc>
        <w:tc>
          <w:tcPr>
            <w:tcW w:w="593"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数量</w:t>
            </w:r>
          </w:p>
        </w:tc>
        <w:tc>
          <w:tcPr>
            <w:tcW w:w="991" w:type="dxa"/>
            <w:tcBorders>
              <w:top w:val="single" w:color="auto" w:sz="4"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实训室（场地）面积</w:t>
            </w:r>
          </w:p>
        </w:tc>
        <w:tc>
          <w:tcPr>
            <w:tcW w:w="1232" w:type="dxa"/>
            <w:tcBorders>
              <w:top w:val="single" w:color="auto" w:sz="4"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702" w:type="dxa"/>
            <w:vMerge w:val="restart"/>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r>
              <w:rPr>
                <w:rFonts w:hint="default" w:ascii="Times New Roman" w:hAnsi="Times New Roman" w:eastAsia="仿宋_GB2312" w:cs="Times New Roman"/>
                <w:kern w:val="0"/>
                <w:sz w:val="15"/>
                <w:szCs w:val="15"/>
              </w:rPr>
              <w:t>1</w:t>
            </w:r>
          </w:p>
        </w:tc>
        <w:tc>
          <w:tcPr>
            <w:tcW w:w="893"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建筑材料检测实训</w:t>
            </w:r>
          </w:p>
        </w:tc>
        <w:tc>
          <w:tcPr>
            <w:tcW w:w="1222"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水泥实训、钢筋实训、集料实训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水泥负压筛析仪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120</w:t>
            </w:r>
            <w:r>
              <w:rPr>
                <w:rFonts w:hint="eastAsia" w:ascii="仿宋_GB2312" w:hAnsi="仿宋_GB2312" w:eastAsia="仿宋_GB2312" w:cs="仿宋_GB2312"/>
                <w:kern w:val="0"/>
                <w:sz w:val="24"/>
                <w:szCs w:val="18"/>
              </w:rPr>
              <w:t>㎡</w:t>
            </w:r>
          </w:p>
        </w:tc>
        <w:tc>
          <w:tcPr>
            <w:tcW w:w="1232" w:type="dxa"/>
            <w:vMerge w:val="restart"/>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水泥净浆搅拌机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8</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水泥胶砂搅拌机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5</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水泥胶砂振实台</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4</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水泥维卡仪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8</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电动抗折试验机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恒应力水泥压力机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标准恒温恒湿养护箱</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center"/>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雷氏沸煮箱</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雷氏夹测定仪（配雷氏夹）</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水泥砂浆搅拌机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砂浆稠度仪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4</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单卧轴强制式混凝土搅拌机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水泥试块抗压强度试验机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万能材料试验机</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钢筋标距仪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2</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砂石方孔筛</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各</w:t>
            </w:r>
            <w:r>
              <w:rPr>
                <w:rFonts w:hint="default" w:ascii="Times New Roman" w:hAnsi="Times New Roman" w:eastAsia="仿宋_GB2312" w:cs="Times New Roman"/>
                <w:kern w:val="0"/>
                <w:sz w:val="24"/>
                <w:szCs w:val="18"/>
              </w:rPr>
              <w:t>3</w:t>
            </w:r>
            <w:r>
              <w:rPr>
                <w:rFonts w:hint="eastAsia" w:ascii="仿宋_GB2312" w:hAnsi="仿宋_GB2312" w:eastAsia="仿宋_GB2312" w:cs="仿宋_GB2312"/>
                <w:kern w:val="0"/>
                <w:sz w:val="24"/>
                <w:szCs w:val="18"/>
              </w:rPr>
              <w:t>套</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真空吸水装置、真空表</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702" w:type="dxa"/>
            <w:vMerge w:val="restart"/>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r>
              <w:rPr>
                <w:rFonts w:hint="default" w:ascii="Times New Roman" w:hAnsi="Times New Roman" w:eastAsia="仿宋_GB2312" w:cs="Times New Roman"/>
                <w:kern w:val="0"/>
                <w:sz w:val="15"/>
                <w:szCs w:val="15"/>
              </w:rPr>
              <w:t>2</w:t>
            </w:r>
          </w:p>
        </w:tc>
        <w:tc>
          <w:tcPr>
            <w:tcW w:w="893"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测量实训</w:t>
            </w:r>
          </w:p>
        </w:tc>
        <w:tc>
          <w:tcPr>
            <w:tcW w:w="1222"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测量实训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普通经纬仪</w:t>
            </w:r>
            <w:r>
              <w:rPr>
                <w:rFonts w:hint="default" w:ascii="Times New Roman" w:hAnsi="Times New Roman" w:eastAsia="仿宋_GB2312" w:cs="Times New Roman"/>
                <w:kern w:val="0"/>
                <w:sz w:val="24"/>
                <w:szCs w:val="18"/>
              </w:rPr>
              <w:t>DJ6</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10</w:t>
            </w:r>
          </w:p>
        </w:tc>
        <w:tc>
          <w:tcPr>
            <w:tcW w:w="991"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30</w:t>
            </w:r>
            <w:r>
              <w:rPr>
                <w:rFonts w:hint="eastAsia" w:ascii="仿宋_GB2312" w:hAnsi="仿宋_GB2312" w:eastAsia="仿宋_GB2312" w:cs="仿宋_GB2312"/>
                <w:kern w:val="0"/>
                <w:sz w:val="24"/>
                <w:szCs w:val="18"/>
              </w:rPr>
              <w:t>㎡</w:t>
            </w:r>
          </w:p>
        </w:tc>
        <w:tc>
          <w:tcPr>
            <w:tcW w:w="1232" w:type="dxa"/>
            <w:vMerge w:val="restart"/>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普通水准仪</w:t>
            </w:r>
            <w:r>
              <w:rPr>
                <w:rFonts w:hint="default" w:ascii="Times New Roman" w:hAnsi="Times New Roman" w:eastAsia="仿宋_GB2312" w:cs="Times New Roman"/>
                <w:kern w:val="0"/>
                <w:sz w:val="24"/>
                <w:szCs w:val="18"/>
              </w:rPr>
              <w:t>DS3</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10</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精密测量实训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 xml:space="preserve">激光垂准仪 </w:t>
            </w:r>
            <w:r>
              <w:rPr>
                <w:rFonts w:hint="default" w:ascii="Times New Roman" w:hAnsi="Times New Roman" w:eastAsia="仿宋_GB2312" w:cs="Times New Roman"/>
                <w:kern w:val="0"/>
                <w:sz w:val="24"/>
                <w:szCs w:val="18"/>
              </w:rPr>
              <w:t>DZJ2</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2</w:t>
            </w:r>
          </w:p>
        </w:tc>
        <w:tc>
          <w:tcPr>
            <w:tcW w:w="991"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30</w:t>
            </w:r>
            <w:r>
              <w:rPr>
                <w:rFonts w:hint="eastAsia" w:ascii="仿宋_GB2312" w:hAnsi="仿宋_GB2312" w:eastAsia="仿宋_GB2312" w:cs="仿宋_GB2312"/>
                <w:kern w:val="0"/>
                <w:sz w:val="24"/>
                <w:szCs w:val="18"/>
              </w:rPr>
              <w:t>㎡</w:t>
            </w:r>
          </w:p>
        </w:tc>
        <w:tc>
          <w:tcPr>
            <w:tcW w:w="1232" w:type="dxa"/>
            <w:vMerge w:val="restart"/>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选择实训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 xml:space="preserve">电子经纬仪 </w:t>
            </w:r>
            <w:r>
              <w:rPr>
                <w:rFonts w:hint="default" w:ascii="Times New Roman" w:hAnsi="Times New Roman" w:eastAsia="仿宋_GB2312" w:cs="Times New Roman"/>
                <w:kern w:val="0"/>
                <w:sz w:val="24"/>
                <w:szCs w:val="18"/>
              </w:rPr>
              <w:t>DJD2A</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 xml:space="preserve">精密经纬仪 </w:t>
            </w:r>
            <w:r>
              <w:rPr>
                <w:rFonts w:hint="default" w:ascii="Times New Roman" w:hAnsi="Times New Roman" w:eastAsia="仿宋_GB2312" w:cs="Times New Roman"/>
                <w:kern w:val="0"/>
                <w:sz w:val="24"/>
                <w:szCs w:val="18"/>
              </w:rPr>
              <w:t>J2</w:t>
            </w:r>
            <w:r>
              <w:rPr>
                <w:rFonts w:hint="eastAsia" w:ascii="仿宋_GB2312" w:hAnsi="仿宋_GB2312" w:eastAsia="仿宋_GB2312" w:cs="仿宋_GB2312"/>
                <w:kern w:val="0"/>
                <w:sz w:val="24"/>
                <w:szCs w:val="18"/>
              </w:rPr>
              <w:t>-</w:t>
            </w:r>
            <w:r>
              <w:rPr>
                <w:rFonts w:hint="default" w:ascii="Times New Roman" w:hAnsi="Times New Roman" w:eastAsia="仿宋_GB2312" w:cs="Times New Roman"/>
                <w:kern w:val="0"/>
                <w:sz w:val="24"/>
                <w:szCs w:val="18"/>
              </w:rPr>
              <w:t>2</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精密水准仪*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3</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0"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全站仪</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台</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2</w:t>
            </w:r>
          </w:p>
        </w:tc>
        <w:tc>
          <w:tcPr>
            <w:tcW w:w="991"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702" w:type="dxa"/>
            <w:vMerge w:val="restart"/>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r>
              <w:rPr>
                <w:rFonts w:hint="default" w:ascii="Times New Roman" w:hAnsi="Times New Roman" w:eastAsia="仿宋_GB2312" w:cs="Times New Roman"/>
                <w:kern w:val="0"/>
                <w:sz w:val="15"/>
                <w:szCs w:val="15"/>
              </w:rPr>
              <w:t>3</w:t>
            </w:r>
          </w:p>
        </w:tc>
        <w:tc>
          <w:tcPr>
            <w:tcW w:w="893" w:type="dxa"/>
            <w:vMerge w:val="restart"/>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工种训练实训</w:t>
            </w: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钢筋工艺实训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钢筋工作台</w:t>
            </w:r>
            <w:r>
              <w:rPr>
                <w:rFonts w:hint="default" w:ascii="Times New Roman" w:hAnsi="Times New Roman" w:eastAsia="仿宋_GB2312" w:cs="Times New Roman"/>
                <w:kern w:val="0"/>
                <w:sz w:val="24"/>
                <w:szCs w:val="18"/>
              </w:rPr>
              <w:t>6</w:t>
            </w:r>
            <w:r>
              <w:rPr>
                <w:rFonts w:hint="eastAsia" w:ascii="仿宋_GB2312" w:hAnsi="仿宋_GB2312" w:eastAsia="仿宋_GB2312" w:cs="仿宋_GB2312"/>
                <w:kern w:val="0"/>
                <w:sz w:val="24"/>
                <w:szCs w:val="18"/>
              </w:rPr>
              <w:t>个，钢筋切断机、钢筋调直机、钢筋弯曲机、弧焊机等检测工具</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50</w:t>
            </w:r>
            <w:r>
              <w:rPr>
                <w:rFonts w:hint="eastAsia" w:ascii="仿宋_GB2312" w:hAnsi="仿宋_GB2312" w:eastAsia="仿宋_GB2312" w:cs="仿宋_GB2312"/>
                <w:kern w:val="0"/>
                <w:sz w:val="24"/>
                <w:szCs w:val="18"/>
              </w:rPr>
              <w:t>㎡</w:t>
            </w:r>
          </w:p>
        </w:tc>
        <w:tc>
          <w:tcPr>
            <w:tcW w:w="1232"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19"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砌筑工艺实训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砌筑材料及工具</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若干</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57"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抹灰工艺实训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材料及抹灰工具</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若干</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50</w:t>
            </w:r>
            <w:r>
              <w:rPr>
                <w:rFonts w:hint="eastAsia" w:ascii="仿宋_GB2312" w:hAnsi="仿宋_GB2312" w:eastAsia="仿宋_GB2312" w:cs="仿宋_GB2312"/>
                <w:kern w:val="0"/>
                <w:sz w:val="24"/>
                <w:szCs w:val="18"/>
              </w:rPr>
              <w:t>㎡</w:t>
            </w:r>
          </w:p>
        </w:tc>
        <w:tc>
          <w:tcPr>
            <w:tcW w:w="1232"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校内完成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8"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模板工艺实训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工具式钢模板及木模板</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若干</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50</w:t>
            </w:r>
            <w:r>
              <w:rPr>
                <w:rFonts w:hint="eastAsia" w:ascii="仿宋_GB2312" w:hAnsi="仿宋_GB2312" w:eastAsia="仿宋_GB2312" w:cs="仿宋_GB2312"/>
                <w:kern w:val="0"/>
                <w:sz w:val="24"/>
                <w:szCs w:val="18"/>
              </w:rPr>
              <w:t>㎡</w:t>
            </w:r>
          </w:p>
        </w:tc>
        <w:tc>
          <w:tcPr>
            <w:tcW w:w="1232" w:type="dxa"/>
            <w:vMerge w:val="restart"/>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选择实训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41" w:hRule="atLeast"/>
        </w:trPr>
        <w:tc>
          <w:tcPr>
            <w:tcW w:w="702" w:type="dxa"/>
            <w:vMerge w:val="continue"/>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架子工艺实训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钢管脚手架</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若干</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50</w:t>
            </w:r>
            <w:r>
              <w:rPr>
                <w:rFonts w:hint="eastAsia" w:ascii="仿宋_GB2312" w:hAnsi="仿宋_GB2312" w:eastAsia="仿宋_GB2312" w:cs="仿宋_GB2312"/>
                <w:kern w:val="0"/>
                <w:sz w:val="24"/>
                <w:szCs w:val="18"/>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90" w:hRule="atLeast"/>
        </w:trPr>
        <w:tc>
          <w:tcPr>
            <w:tcW w:w="702" w:type="dxa"/>
            <w:vMerge w:val="restart"/>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r>
              <w:rPr>
                <w:rFonts w:hint="default" w:ascii="Times New Roman" w:hAnsi="Times New Roman" w:eastAsia="仿宋_GB2312" w:cs="Times New Roman"/>
                <w:kern w:val="0"/>
                <w:sz w:val="15"/>
                <w:szCs w:val="15"/>
              </w:rPr>
              <w:t>4</w:t>
            </w:r>
          </w:p>
        </w:tc>
        <w:tc>
          <w:tcPr>
            <w:tcW w:w="893" w:type="dxa"/>
            <w:vMerge w:val="restart"/>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专项训练实训</w:t>
            </w: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框架结构实训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框架结构构造与施工工艺模型；框架结构节点；框架结构实训工位；框架结构施工现场环境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3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砖混结构实训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砖混结构构造与施工工艺模型；砖混结构节点；砖混结构实训工位；砖混结构施工现场环境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95" w:hRule="atLeast"/>
        </w:trPr>
        <w:tc>
          <w:tcPr>
            <w:tcW w:w="702" w:type="dxa"/>
            <w:vMerge w:val="continue"/>
            <w:tcBorders>
              <w:top w:val="single" w:color="auto" w:sz="6" w:space="0"/>
              <w:left w:val="single" w:color="auto" w:sz="4" w:space="0"/>
              <w:bottom w:val="single" w:color="auto" w:sz="4" w:space="0"/>
              <w:right w:val="single" w:color="auto"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钢结构工程实训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钢结构构造与施工工艺模型；钢结构节点；钢结构 实训工位；钢结构施工现场环境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5"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装饰工程实训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装饰构造与施工工艺模型；装饰基础节点；装饰实训工位；装饰施工现场环境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5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招投标模拟实训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计算机及配套设施</w:t>
            </w:r>
            <w:r>
              <w:rPr>
                <w:rFonts w:hint="default" w:ascii="Times New Roman" w:hAnsi="Times New Roman" w:eastAsia="仿宋_GB2312" w:cs="Times New Roman"/>
                <w:kern w:val="0"/>
                <w:sz w:val="24"/>
                <w:szCs w:val="18"/>
              </w:rPr>
              <w:t>2</w:t>
            </w:r>
            <w:r>
              <w:rPr>
                <w:rFonts w:hint="eastAsia" w:ascii="仿宋_GB2312" w:hAnsi="仿宋_GB2312" w:eastAsia="仿宋_GB2312" w:cs="仿宋_GB2312"/>
                <w:kern w:val="0"/>
                <w:sz w:val="24"/>
                <w:szCs w:val="18"/>
              </w:rPr>
              <w:t>台，投影仪</w:t>
            </w:r>
            <w:r>
              <w:rPr>
                <w:rFonts w:hint="default" w:ascii="Times New Roman" w:hAnsi="Times New Roman" w:eastAsia="仿宋_GB2312" w:cs="Times New Roman"/>
                <w:kern w:val="0"/>
                <w:sz w:val="24"/>
                <w:szCs w:val="18"/>
              </w:rPr>
              <w:t>1</w:t>
            </w:r>
            <w:r>
              <w:rPr>
                <w:rFonts w:hint="eastAsia" w:ascii="仿宋_GB2312" w:hAnsi="仿宋_GB2312" w:eastAsia="仿宋_GB2312" w:cs="仿宋_GB2312"/>
                <w:kern w:val="0"/>
                <w:sz w:val="24"/>
                <w:szCs w:val="18"/>
              </w:rPr>
              <w:t>台，洽谈会议桌</w:t>
            </w:r>
            <w:r>
              <w:rPr>
                <w:rFonts w:hint="default" w:ascii="Times New Roman" w:hAnsi="Times New Roman" w:eastAsia="仿宋_GB2312" w:cs="Times New Roman"/>
                <w:kern w:val="0"/>
                <w:sz w:val="24"/>
                <w:szCs w:val="18"/>
              </w:rPr>
              <w:t>1</w:t>
            </w:r>
            <w:r>
              <w:rPr>
                <w:rFonts w:hint="eastAsia" w:ascii="仿宋_GB2312" w:hAnsi="仿宋_GB2312" w:eastAsia="仿宋_GB2312" w:cs="仿宋_GB2312"/>
                <w:kern w:val="0"/>
                <w:sz w:val="24"/>
                <w:szCs w:val="18"/>
              </w:rPr>
              <w:t>个，座椅</w:t>
            </w:r>
            <w:r>
              <w:rPr>
                <w:rFonts w:hint="default" w:ascii="Times New Roman" w:hAnsi="Times New Roman" w:eastAsia="仿宋_GB2312" w:cs="Times New Roman"/>
                <w:kern w:val="0"/>
                <w:sz w:val="24"/>
                <w:szCs w:val="18"/>
              </w:rPr>
              <w:t>40</w:t>
            </w:r>
            <w:r>
              <w:rPr>
                <w:rFonts w:hint="eastAsia" w:ascii="仿宋_GB2312" w:hAnsi="仿宋_GB2312" w:eastAsia="仿宋_GB2312" w:cs="仿宋_GB2312"/>
                <w:kern w:val="0"/>
                <w:sz w:val="24"/>
                <w:szCs w:val="18"/>
              </w:rPr>
              <w:t>个，资料柜，招投标软件、</w:t>
            </w:r>
            <w:r>
              <w:rPr>
                <w:rFonts w:hint="default" w:ascii="Times New Roman" w:hAnsi="Times New Roman" w:eastAsia="仿宋_GB2312" w:cs="Times New Roman"/>
                <w:kern w:val="0"/>
                <w:sz w:val="24"/>
                <w:szCs w:val="18"/>
              </w:rPr>
              <w:t>CAD</w:t>
            </w:r>
            <w:r>
              <w:rPr>
                <w:rFonts w:hint="eastAsia" w:ascii="仿宋_GB2312" w:hAnsi="仿宋_GB2312" w:eastAsia="仿宋_GB2312" w:cs="仿宋_GB2312"/>
                <w:kern w:val="0"/>
                <w:sz w:val="24"/>
                <w:szCs w:val="18"/>
              </w:rPr>
              <w:t>软件</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8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项目管理实训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计算机</w:t>
            </w:r>
            <w:r>
              <w:rPr>
                <w:rFonts w:hint="default" w:ascii="Times New Roman" w:hAnsi="Times New Roman" w:eastAsia="仿宋_GB2312" w:cs="Times New Roman"/>
                <w:kern w:val="0"/>
                <w:sz w:val="24"/>
                <w:szCs w:val="18"/>
              </w:rPr>
              <w:t>50</w:t>
            </w:r>
            <w:r>
              <w:rPr>
                <w:rFonts w:hint="eastAsia" w:ascii="仿宋_GB2312" w:hAnsi="仿宋_GB2312" w:eastAsia="仿宋_GB2312" w:cs="仿宋_GB2312"/>
                <w:kern w:val="0"/>
                <w:sz w:val="24"/>
                <w:szCs w:val="18"/>
              </w:rPr>
              <w:t>台；项目管理软件</w:t>
            </w:r>
            <w:r>
              <w:rPr>
                <w:rFonts w:hint="default" w:ascii="Times New Roman" w:hAnsi="Times New Roman" w:eastAsia="仿宋_GB2312" w:cs="Times New Roman"/>
                <w:kern w:val="0"/>
                <w:sz w:val="24"/>
                <w:szCs w:val="18"/>
              </w:rPr>
              <w:t>2</w:t>
            </w:r>
            <w:r>
              <w:rPr>
                <w:rFonts w:hint="eastAsia" w:ascii="仿宋_GB2312" w:hAnsi="仿宋_GB2312" w:eastAsia="仿宋_GB2312" w:cs="仿宋_GB2312"/>
                <w:kern w:val="0"/>
                <w:sz w:val="24"/>
                <w:szCs w:val="18"/>
              </w:rPr>
              <w:t>套；建筑施工图、结构施工图、设备施工图多套</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造价实训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计算机</w:t>
            </w:r>
            <w:r>
              <w:rPr>
                <w:rFonts w:hint="default" w:ascii="Times New Roman" w:hAnsi="Times New Roman" w:eastAsia="仿宋_GB2312" w:cs="Times New Roman"/>
                <w:kern w:val="0"/>
                <w:sz w:val="24"/>
                <w:szCs w:val="18"/>
              </w:rPr>
              <w:t>50</w:t>
            </w:r>
            <w:r>
              <w:rPr>
                <w:rFonts w:hint="eastAsia" w:ascii="仿宋_GB2312" w:hAnsi="仿宋_GB2312" w:eastAsia="仿宋_GB2312" w:cs="仿宋_GB2312"/>
                <w:kern w:val="0"/>
                <w:sz w:val="24"/>
                <w:szCs w:val="18"/>
              </w:rPr>
              <w:t>台；造价软件</w:t>
            </w:r>
            <w:r>
              <w:rPr>
                <w:rFonts w:hint="default" w:ascii="Times New Roman" w:hAnsi="Times New Roman" w:eastAsia="仿宋_GB2312" w:cs="Times New Roman"/>
                <w:kern w:val="0"/>
                <w:sz w:val="24"/>
                <w:szCs w:val="18"/>
              </w:rPr>
              <w:t>2</w:t>
            </w:r>
            <w:r>
              <w:rPr>
                <w:rFonts w:hint="eastAsia" w:ascii="仿宋_GB2312" w:hAnsi="仿宋_GB2312" w:eastAsia="仿宋_GB2312" w:cs="仿宋_GB2312"/>
                <w:kern w:val="0"/>
                <w:sz w:val="24"/>
                <w:szCs w:val="18"/>
              </w:rPr>
              <w:t>套；建筑施工图、结构施工图、设备施工图多套</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85"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基础工程实训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基础构造与施工工艺模型；基础节点；基础实训工位；基础施工现场环境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restart"/>
            <w:tcBorders>
              <w:top w:val="nil"/>
              <w:left w:val="single" w:color="auto" w:sz="6"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选择实训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95"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防水工程实训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防水构造与施工工艺模型；防水节点；防水实训工位；防水施工现场环境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nil"/>
              <w:left w:val="single" w:color="auto" w:sz="6"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0" w:hRule="atLeast"/>
        </w:trPr>
        <w:tc>
          <w:tcPr>
            <w:tcW w:w="702" w:type="dxa"/>
            <w:vMerge w:val="continue"/>
            <w:tcBorders>
              <w:top w:val="single" w:color="auto" w:sz="6" w:space="0"/>
              <w:left w:val="single" w:color="auto" w:sz="4"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15"/>
                <w:szCs w:val="15"/>
              </w:rPr>
            </w:pPr>
          </w:p>
        </w:tc>
        <w:tc>
          <w:tcPr>
            <w:tcW w:w="893" w:type="dxa"/>
            <w:vMerge w:val="continue"/>
            <w:tcBorders>
              <w:top w:val="single" w:color="auto" w:sz="6" w:space="0"/>
              <w:left w:val="single" w:color="auto" w:sz="6" w:space="0"/>
              <w:bottom w:val="single" w:color="auto" w:sz="4"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c>
          <w:tcPr>
            <w:tcW w:w="122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深基坑实训</w:t>
            </w:r>
          </w:p>
        </w:tc>
        <w:tc>
          <w:tcPr>
            <w:tcW w:w="376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深基坑构造与施工工艺模型；深基坑节点；深基坑实训工位；深基坑施工现场环境</w:t>
            </w:r>
          </w:p>
        </w:tc>
        <w:tc>
          <w:tcPr>
            <w:tcW w:w="45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套</w:t>
            </w:r>
          </w:p>
        </w:tc>
        <w:tc>
          <w:tcPr>
            <w:tcW w:w="59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default" w:ascii="Times New Roman" w:hAnsi="Times New Roman" w:eastAsia="仿宋_GB2312" w:cs="Times New Roman"/>
                <w:kern w:val="0"/>
                <w:sz w:val="24"/>
                <w:szCs w:val="18"/>
              </w:rPr>
              <w:t>1</w:t>
            </w:r>
          </w:p>
        </w:tc>
        <w:tc>
          <w:tcPr>
            <w:tcW w:w="99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r>
              <w:rPr>
                <w:rFonts w:hint="eastAsia" w:ascii="仿宋_GB2312" w:hAnsi="仿宋_GB2312" w:eastAsia="仿宋_GB2312" w:cs="仿宋_GB2312"/>
                <w:kern w:val="0"/>
                <w:sz w:val="24"/>
                <w:szCs w:val="18"/>
              </w:rPr>
              <w:t>不小于</w:t>
            </w:r>
            <w:r>
              <w:rPr>
                <w:rFonts w:hint="default" w:ascii="Times New Roman" w:hAnsi="Times New Roman" w:eastAsia="仿宋_GB2312" w:cs="Times New Roman"/>
                <w:kern w:val="0"/>
                <w:sz w:val="24"/>
                <w:szCs w:val="18"/>
              </w:rPr>
              <w:t>70</w:t>
            </w:r>
            <w:r>
              <w:rPr>
                <w:rFonts w:hint="eastAsia" w:ascii="仿宋_GB2312" w:hAnsi="仿宋_GB2312" w:eastAsia="仿宋_GB2312" w:cs="仿宋_GB2312"/>
                <w:kern w:val="0"/>
                <w:sz w:val="24"/>
                <w:szCs w:val="18"/>
              </w:rPr>
              <w:t>㎡</w:t>
            </w:r>
          </w:p>
        </w:tc>
        <w:tc>
          <w:tcPr>
            <w:tcW w:w="1232" w:type="dxa"/>
            <w:vMerge w:val="continue"/>
            <w:tcBorders>
              <w:top w:val="nil"/>
              <w:left w:val="single" w:color="auto" w:sz="6"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rPr>
                <w:rFonts w:hint="eastAsia" w:ascii="仿宋_GB2312" w:hAnsi="仿宋_GB2312" w:eastAsia="仿宋_GB2312" w:cs="仿宋_GB2312"/>
                <w:kern w:val="0"/>
                <w:sz w:val="24"/>
                <w:szCs w:val="18"/>
              </w:rPr>
            </w:pPr>
          </w:p>
        </w:tc>
      </w:tr>
    </w:tbl>
    <w:p>
      <w:pPr>
        <w:bidi w:val="0"/>
      </w:pPr>
      <w:r>
        <w:rPr>
          <w:rFonts w:hint="default" w:ascii="Times New Roman" w:hAnsi="Times New Roman" w:cs="Times New Roman"/>
        </w:rPr>
        <w:t>2</w:t>
      </w:r>
      <w:r>
        <w:rPr>
          <w:rFonts w:hint="eastAsia"/>
        </w:rPr>
        <w:t>、校外实践教学条件</w:t>
      </w:r>
    </w:p>
    <w:p>
      <w:pPr>
        <w:bidi w:val="0"/>
      </w:pPr>
      <w:r>
        <w:rPr>
          <w:rFonts w:hint="eastAsia"/>
        </w:rPr>
        <w:t>建筑工程技术专业校外实训基地能提供与本专业培养目标相适宜的职业岗位，并对学生实施轮岗实训。实训基地具备符合学生实训的场所和设施，具备必要的学习条件及生活条件，并配置专业人员对学生进行实训指导。</w:t>
      </w:r>
    </w:p>
    <w:p>
      <w:pPr>
        <w:pStyle w:val="3"/>
        <w:bidi w:val="0"/>
      </w:pPr>
      <w:r>
        <w:rPr>
          <w:rStyle w:val="12"/>
          <w:rFonts w:hint="eastAsia"/>
        </w:rPr>
        <w:t>七、教学计划进程表</w:t>
      </w:r>
      <w:r>
        <w:rPr>
          <w:rFonts w:hint="eastAsia" w:eastAsia="黑体"/>
          <w:bCs/>
          <w:color w:val="000000"/>
          <w:kern w:val="44"/>
          <w:sz w:val="28"/>
          <w:szCs w:val="28"/>
        </w:rPr>
        <w:tab/>
      </w:r>
    </w:p>
    <w:tbl>
      <w:tblPr>
        <w:tblStyle w:val="7"/>
        <w:tblpPr w:leftFromText="180" w:rightFromText="180" w:vertAnchor="text" w:horzAnchor="page" w:tblpXSpec="center" w:tblpY="264"/>
        <w:tblOverlap w:val="never"/>
        <w:tblW w:w="868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346"/>
        <w:gridCol w:w="28"/>
        <w:gridCol w:w="346"/>
        <w:gridCol w:w="1176"/>
        <w:gridCol w:w="1530"/>
        <w:gridCol w:w="374"/>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69" w:hRule="atLeas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类别</w:t>
            </w:r>
          </w:p>
        </w:tc>
        <w:tc>
          <w:tcPr>
            <w:tcW w:w="374" w:type="dxa"/>
            <w:gridSpan w:val="2"/>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序</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号</w:t>
            </w:r>
          </w:p>
        </w:tc>
        <w:tc>
          <w:tcPr>
            <w:tcW w:w="117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代码</w:t>
            </w:r>
          </w:p>
        </w:tc>
        <w:tc>
          <w:tcPr>
            <w:tcW w:w="1530"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课程性质</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总</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17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530"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上</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线</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验</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实</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过</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程</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性</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终结性</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17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1530"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4"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75"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宋体" w:hAnsi="宋体" w:eastAsia="宋体" w:cs="宋体"/>
                <w:b/>
                <w:bCs/>
                <w:sz w:val="18"/>
                <w:szCs w:val="18"/>
              </w:rPr>
            </w:pP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考试</w:t>
            </w:r>
          </w:p>
        </w:tc>
        <w:tc>
          <w:tcPr>
            <w:tcW w:w="38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宋体" w:hAnsi="宋体" w:eastAsia="宋体" w:cs="宋体"/>
                <w:b/>
                <w:bCs/>
                <w:sz w:val="18"/>
                <w:szCs w:val="18"/>
                <w:lang w:val="en-US" w:eastAsia="zh-CN"/>
              </w:rPr>
            </w:pPr>
            <w:r>
              <w:rPr>
                <w:rFonts w:hint="eastAsia" w:ascii="宋体" w:hAnsi="宋体" w:eastAsia="宋体" w:cs="宋体"/>
                <w:b/>
                <w:bCs/>
                <w:sz w:val="18"/>
                <w:szCs w:val="18"/>
                <w:lang w:val="en-US" w:eastAsia="zh-CN"/>
              </w:rPr>
              <w:t>考查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7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公</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共</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基</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础</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1</w:t>
            </w:r>
          </w:p>
        </w:tc>
        <w:tc>
          <w:tcPr>
            <w:tcW w:w="1176"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5"/>
                <w:szCs w:val="15"/>
              </w:rPr>
            </w:pPr>
            <w:r>
              <w:rPr>
                <w:rFonts w:hint="eastAsia" w:ascii="宋体" w:hAnsi="宋体" w:eastAsia="宋体" w:cs="宋体"/>
                <w:i w:val="0"/>
                <w:iCs w:val="0"/>
                <w:color w:val="000000"/>
                <w:kern w:val="0"/>
                <w:sz w:val="18"/>
                <w:szCs w:val="18"/>
                <w:u w:val="none"/>
                <w:lang w:val="en-US" w:eastAsia="zh-CN" w:bidi="ar"/>
              </w:rPr>
              <w:t>D022326J02</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1"/>
                <w:szCs w:val="11"/>
              </w:rPr>
            </w:pPr>
            <w:r>
              <w:rPr>
                <w:rFonts w:hint="eastAsia" w:ascii="宋体" w:hAnsi="宋体" w:eastAsia="宋体" w:cs="宋体"/>
                <w:i w:val="0"/>
                <w:iCs w:val="0"/>
                <w:snapToGrid w:val="0"/>
                <w:color w:val="000000"/>
                <w:kern w:val="0"/>
                <w:sz w:val="18"/>
                <w:szCs w:val="18"/>
                <w:u w:val="none"/>
                <w:lang w:val="en-US" w:eastAsia="zh-CN" w:bidi="ar"/>
              </w:rPr>
              <w:t>毛泽东思想和中国特色社会主义理论体系概论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b/>
                <w:bCs/>
                <w:sz w:val="18"/>
                <w:szCs w:val="18"/>
                <w:lang w:val="en-US" w:eastAsia="zh-CN"/>
              </w:rPr>
            </w:pPr>
            <w:r>
              <w:rPr>
                <w:rFonts w:hint="default" w:ascii="Times New Roman" w:hAnsi="Times New Roman" w:eastAsia="宋体" w:cs="Times New Roman"/>
                <w:b/>
                <w:bCs/>
                <w:sz w:val="18"/>
                <w:szCs w:val="18"/>
                <w:lang w:val="en-US" w:eastAsia="zh-CN"/>
              </w:rPr>
              <w:t>2</w:t>
            </w:r>
          </w:p>
        </w:tc>
        <w:tc>
          <w:tcPr>
            <w:tcW w:w="117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D022326J01</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2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3</w:t>
            </w:r>
          </w:p>
        </w:tc>
        <w:tc>
          <w:tcPr>
            <w:tcW w:w="1176" w:type="dxa"/>
            <w:tcBorders>
              <w:tl2br w:val="nil"/>
              <w:tr2bl w:val="nil"/>
            </w:tcBorders>
            <w:vAlign w:val="bottom"/>
          </w:tcPr>
          <w:p>
            <w:pPr>
              <w:keepNext w:val="0"/>
              <w:keepLines w:val="0"/>
              <w:widowControl/>
              <w:suppressLineNumbers w:val="0"/>
              <w:spacing w:line="240" w:lineRule="auto"/>
              <w:ind w:left="0" w:leftChars="0" w:firstLine="0" w:firstLineChars="0"/>
              <w:jc w:val="both"/>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D022326J20</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851"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4</w:t>
            </w:r>
          </w:p>
        </w:tc>
        <w:tc>
          <w:tcPr>
            <w:tcW w:w="1176" w:type="dxa"/>
            <w:tcBorders>
              <w:tl2br w:val="nil"/>
              <w:tr2bl w:val="nil"/>
            </w:tcBorders>
            <w:vAlign w:val="center"/>
          </w:tcPr>
          <w:tbl>
            <w:tblPr>
              <w:tblStyle w:val="7"/>
              <w:tblW w:w="1193"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top"/>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2"/>
                      <w:sz w:val="13"/>
                      <w:szCs w:val="13"/>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1193"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D022326J06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 w:hRule="atLeast"/>
              </w:trPr>
              <w:tc>
                <w:tcPr>
                  <w:tcW w:w="0" w:type="auto"/>
                  <w:shd w:val="clear" w:color="auto" w:fill="auto"/>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kern w:val="2"/>
                      <w:sz w:val="18"/>
                      <w:szCs w:val="18"/>
                      <w:u w:val="none"/>
                      <w:lang w:val="en-US" w:eastAsia="zh-CN" w:bidi="ar-SA"/>
                    </w:rPr>
                  </w:pPr>
                </w:p>
              </w:tc>
            </w:tr>
          </w:tbl>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形势与政策</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4</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4</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11"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5</w:t>
            </w:r>
          </w:p>
        </w:tc>
        <w:tc>
          <w:tcPr>
            <w:tcW w:w="1176" w:type="dxa"/>
            <w:tcBorders>
              <w:tl2br w:val="nil"/>
              <w:tr2bl w:val="nil"/>
            </w:tcBorders>
            <w:vAlign w:val="center"/>
          </w:tcPr>
          <w:tbl>
            <w:tblPr>
              <w:tblStyle w:val="7"/>
              <w:tblW w:w="1546"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46"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46" w:type="dxa"/>
                  <w:tcBorders>
                    <w:top w:val="nil"/>
                    <w:left w:val="nil"/>
                    <w:bottom w:val="nil"/>
                    <w:right w:val="nil"/>
                  </w:tcBorders>
                  <w:shd w:val="clear" w:color="auto" w:fill="auto"/>
                  <w:noWrap/>
                  <w:vAlign w:val="bottom"/>
                </w:tcPr>
                <w:p>
                  <w:pPr>
                    <w:keepNext w:val="0"/>
                    <w:keepLines w:val="0"/>
                    <w:widowControl/>
                    <w:suppressLineNumbers w:val="0"/>
                    <w:spacing w:line="240" w:lineRule="auto"/>
                    <w:ind w:left="0" w:leftChars="0"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D022326J16</w:t>
                  </w:r>
                </w:p>
              </w:tc>
            </w:tr>
          </w:tbl>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高等数学</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96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80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sz w:val="18"/>
                <w:szCs w:val="18"/>
                <w:lang w:val="en-US" w:eastAsia="zh-CN"/>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6</w:t>
            </w:r>
          </w:p>
        </w:tc>
        <w:tc>
          <w:tcPr>
            <w:tcW w:w="117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D022326J12</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计算机文化基础</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60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7</w:t>
            </w:r>
          </w:p>
        </w:tc>
        <w:tc>
          <w:tcPr>
            <w:tcW w:w="1176" w:type="dxa"/>
            <w:tcBorders>
              <w:tl2br w:val="nil"/>
              <w:tr2bl w:val="nil"/>
            </w:tcBorders>
            <w:vAlign w:val="center"/>
          </w:tcPr>
          <w:tbl>
            <w:tblPr>
              <w:tblStyle w:val="7"/>
              <w:tblW w:w="1166"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166" w:type="dxa"/>
                  <w:tcBorders>
                    <w:top w:val="nil"/>
                    <w:left w:val="nil"/>
                    <w:bottom w:val="nil"/>
                    <w:right w:val="nil"/>
                  </w:tcBorders>
                  <w:shd w:val="clear" w:color="auto" w:fill="auto"/>
                  <w:noWrap/>
                  <w:vAlign w:val="top"/>
                </w:tcPr>
                <w:p>
                  <w:pPr>
                    <w:keepNext w:val="0"/>
                    <w:keepLines w:val="0"/>
                    <w:pageBreakBefore w:val="0"/>
                    <w:widowControl/>
                    <w:suppressLineNumbers w:val="0"/>
                    <w:kinsoku/>
                    <w:wordWrap/>
                    <w:overflowPunct/>
                    <w:topLinePunct w:val="0"/>
                    <w:autoSpaceDE/>
                    <w:autoSpaceDN/>
                    <w:bidi w:val="0"/>
                    <w:adjustRightInd/>
                    <w:snapToGrid/>
                    <w:spacing w:line="15" w:lineRule="auto"/>
                    <w:ind w:left="0" w:leftChars="0" w:firstLine="0" w:firstLineChars="0"/>
                    <w:jc w:val="both"/>
                    <w:textAlignment w:val="bottom"/>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D022326J08</w:t>
                  </w:r>
                </w:p>
                <w:p>
                  <w:pPr>
                    <w:keepNext w:val="0"/>
                    <w:keepLines w:val="0"/>
                    <w:pageBreakBefore w:val="0"/>
                    <w:widowControl/>
                    <w:suppressLineNumbers w:val="0"/>
                    <w:kinsoku/>
                    <w:wordWrap/>
                    <w:overflowPunct/>
                    <w:topLinePunct w:val="0"/>
                    <w:autoSpaceDE/>
                    <w:autoSpaceDN/>
                    <w:bidi w:val="0"/>
                    <w:adjustRightInd/>
                    <w:snapToGrid/>
                    <w:spacing w:line="15" w:lineRule="auto"/>
                    <w:ind w:left="0" w:leftChars="0" w:firstLine="0" w:firstLineChars="0"/>
                    <w:jc w:val="both"/>
                    <w:textAlignment w:val="bottom"/>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D022326J09</w:t>
                  </w:r>
                </w:p>
                <w:p>
                  <w:pPr>
                    <w:keepNext w:val="0"/>
                    <w:keepLines w:val="0"/>
                    <w:pageBreakBefore w:val="0"/>
                    <w:widowControl/>
                    <w:suppressLineNumbers w:val="0"/>
                    <w:kinsoku/>
                    <w:wordWrap/>
                    <w:overflowPunct/>
                    <w:topLinePunct w:val="0"/>
                    <w:autoSpaceDE/>
                    <w:autoSpaceDN/>
                    <w:bidi w:val="0"/>
                    <w:adjustRightInd/>
                    <w:snapToGrid/>
                    <w:spacing w:line="15" w:lineRule="auto"/>
                    <w:ind w:left="0" w:leftChars="0"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D022326J10</w:t>
                  </w:r>
                </w:p>
                <w:p>
                  <w:pPr>
                    <w:keepNext w:val="0"/>
                    <w:keepLines w:val="0"/>
                    <w:pageBreakBefore w:val="0"/>
                    <w:widowControl/>
                    <w:suppressLineNumbers w:val="0"/>
                    <w:kinsoku/>
                    <w:wordWrap/>
                    <w:overflowPunct/>
                    <w:topLinePunct w:val="0"/>
                    <w:autoSpaceDE/>
                    <w:autoSpaceDN/>
                    <w:bidi w:val="0"/>
                    <w:adjustRightInd/>
                    <w:snapToGrid/>
                    <w:spacing w:line="15" w:lineRule="auto"/>
                    <w:ind w:left="0" w:leftChars="0" w:firstLine="0" w:firstLineChars="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D022326J11</w:t>
                  </w:r>
                </w:p>
              </w:tc>
            </w:tr>
          </w:tbl>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大学英语</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1"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8</w:t>
            </w:r>
          </w:p>
        </w:tc>
        <w:tc>
          <w:tcPr>
            <w:tcW w:w="117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D022326J14</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ascii="Times New Roman" w:hAnsi="宋体"/>
                <w:sz w:val="15"/>
                <w:szCs w:val="15"/>
              </w:rPr>
            </w:pPr>
            <w:r>
              <w:rPr>
                <w:rFonts w:hint="eastAsia" w:ascii="宋体" w:hAnsi="宋体" w:eastAsia="宋体" w:cs="宋体"/>
                <w:i w:val="0"/>
                <w:iCs w:val="0"/>
                <w:snapToGrid w:val="0"/>
                <w:color w:val="000000"/>
                <w:kern w:val="0"/>
                <w:sz w:val="18"/>
                <w:szCs w:val="18"/>
                <w:u w:val="none"/>
                <w:lang w:val="en-US" w:eastAsia="zh-CN" w:bidi="ar"/>
              </w:rPr>
              <w:t>党史（四史类）</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选择性必修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9</w:t>
            </w:r>
          </w:p>
        </w:tc>
        <w:tc>
          <w:tcPr>
            <w:tcW w:w="117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D022326J13</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应用文写作</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10</w:t>
            </w:r>
          </w:p>
        </w:tc>
        <w:tc>
          <w:tcPr>
            <w:tcW w:w="117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D022326J17</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宋体" w:hAnsi="宋体" w:eastAsia="宋体" w:cs="宋体"/>
                <w:i w:val="0"/>
                <w:iCs w:val="0"/>
                <w:snapToGrid w:val="0"/>
                <w:color w:val="000000"/>
                <w:kern w:val="0"/>
                <w:sz w:val="18"/>
                <w:szCs w:val="18"/>
                <w:u w:val="none"/>
                <w:lang w:val="en-US" w:eastAsia="zh-CN" w:bidi="ar"/>
              </w:rPr>
              <w:t>大学生心理健康教育</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1"/>
                <w:szCs w:val="11"/>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专</w:t>
            </w:r>
          </w:p>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sz w:val="18"/>
                <w:szCs w:val="18"/>
                <w:lang w:val="en-US" w:eastAsia="zh-CN"/>
              </w:rPr>
            </w:pPr>
            <w:r>
              <w:rPr>
                <w:rFonts w:ascii="Times New Roman" w:hAnsi="宋体"/>
                <w:sz w:val="18"/>
                <w:szCs w:val="18"/>
              </w:rPr>
              <w:t>业</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课</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专业课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11</w:t>
            </w:r>
          </w:p>
        </w:tc>
        <w:tc>
          <w:tcPr>
            <w:tcW w:w="117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D440301J01</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建筑制图与识图</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12</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D440301J03</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房屋建筑构造</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13</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D440301J02</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建筑材料与检测</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14</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D440301J04</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w:t>
            </w:r>
            <w:r>
              <w:rPr>
                <w:rFonts w:hint="default" w:ascii="Times New Roman" w:hAnsi="Times New Roman" w:eastAsia="宋体" w:cs="Times New Roman"/>
                <w:i w:val="0"/>
                <w:iCs w:val="0"/>
                <w:snapToGrid w:val="0"/>
                <w:color w:val="000000"/>
                <w:kern w:val="0"/>
                <w:sz w:val="18"/>
                <w:szCs w:val="18"/>
                <w:u w:val="none"/>
                <w:lang w:val="en-US" w:eastAsia="zh-CN" w:bidi="ar"/>
              </w:rPr>
              <w:t>CAD</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5</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15</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D440301J07</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建筑施工技术*</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7</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112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112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16</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D440301J12</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建筑施工组织与管理*</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7</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112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112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职业能力拓展课</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17</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D440301J09</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建筑工程监理*</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18</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D440301J05</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建筑工程测量*</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19</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D440301J08</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default" w:ascii="Times New Roman" w:hAnsi="Times New Roman" w:eastAsia="宋体" w:cs="Times New Roman"/>
                <w:i w:val="0"/>
                <w:iCs w:val="0"/>
                <w:snapToGrid w:val="0"/>
                <w:color w:val="000000"/>
                <w:kern w:val="0"/>
                <w:sz w:val="18"/>
                <w:szCs w:val="18"/>
                <w:u w:val="none"/>
                <w:lang w:val="en-US" w:eastAsia="zh-CN" w:bidi="ar"/>
              </w:rPr>
              <w:t>BIM</w:t>
            </w:r>
            <w:r>
              <w:rPr>
                <w:rFonts w:hint="eastAsia" w:ascii="宋体" w:hAnsi="宋体" w:eastAsia="宋体" w:cs="宋体"/>
                <w:i w:val="0"/>
                <w:iCs w:val="0"/>
                <w:snapToGrid w:val="0"/>
                <w:color w:val="000000"/>
                <w:kern w:val="0"/>
                <w:sz w:val="18"/>
                <w:szCs w:val="18"/>
                <w:u w:val="none"/>
                <w:lang w:val="en-US" w:eastAsia="zh-CN" w:bidi="ar"/>
              </w:rPr>
              <w:t>建模及应用基础*</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96</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4"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20</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D440301J06</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工程招投标与合同管理*</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4"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21</w:t>
            </w:r>
          </w:p>
        </w:tc>
        <w:tc>
          <w:tcPr>
            <w:tcW w:w="1176" w:type="dxa"/>
            <w:tcBorders>
              <w:tl2br w:val="nil"/>
              <w:tr2bl w:val="nil"/>
            </w:tcBorders>
            <w:vAlign w:val="center"/>
          </w:tcPr>
          <w:p>
            <w:pPr>
              <w:keepNext w:val="0"/>
              <w:keepLines w:val="0"/>
              <w:widowControl/>
              <w:suppressLineNumbers w:val="0"/>
              <w:spacing w:line="240" w:lineRule="auto"/>
              <w:ind w:left="0" w:leftChars="0" w:firstLine="0" w:firstLineChars="0"/>
              <w:jc w:val="center"/>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D022326J21</w:t>
            </w:r>
          </w:p>
        </w:tc>
        <w:tc>
          <w:tcPr>
            <w:tcW w:w="1530"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就业与创业教育</w:t>
            </w:r>
          </w:p>
        </w:tc>
        <w:tc>
          <w:tcPr>
            <w:tcW w:w="374" w:type="dxa"/>
            <w:tcBorders>
              <w:tl2br w:val="nil"/>
              <w:tr2bl w:val="nil"/>
            </w:tcBorders>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sz w:val="18"/>
                <w:szCs w:val="18"/>
                <w:lang w:val="en-US" w:eastAsia="zh-CN"/>
              </w:rPr>
              <w:t>1</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sz w:val="18"/>
                <w:szCs w:val="18"/>
                <w:lang w:val="en-US" w:eastAsia="zh-CN"/>
              </w:rPr>
              <w:t>16</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sz w:val="18"/>
                <w:szCs w:val="18"/>
                <w:lang w:val="en-US" w:eastAsia="zh-CN"/>
              </w:rPr>
              <w:t>0</w:t>
            </w: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ascii="Times New Roman" w:hAnsi="Times New Roman" w:eastAsia="宋体" w:cs="Times New Roman"/>
                <w:b/>
                <w:bCs/>
                <w:sz w:val="18"/>
                <w:szCs w:val="18"/>
                <w:lang w:val="en-US" w:eastAsia="zh-CN"/>
              </w:rPr>
              <w:t>16</w:t>
            </w:r>
          </w:p>
        </w:tc>
        <w:tc>
          <w:tcPr>
            <w:tcW w:w="37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eastAsia"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0" w:firstLineChars="0"/>
              <w:jc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sz w:val="18"/>
                <w:szCs w:val="18"/>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实践</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教</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学</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环</w:t>
            </w:r>
          </w:p>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eastAsia="宋体"/>
                <w:sz w:val="18"/>
                <w:szCs w:val="18"/>
              </w:rPr>
            </w:pPr>
            <w:r>
              <w:rPr>
                <w:rFonts w:hint="eastAsia" w:ascii="Times New Roman" w:hAnsi="宋体"/>
                <w:sz w:val="18"/>
                <w:szCs w:val="18"/>
              </w:rPr>
              <w:t>节</w:t>
            </w: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22</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D440301J10</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测量实训</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64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eastAsia="宋体" w:cs="Times New Roman"/>
                <w:b/>
                <w:bCs/>
                <w:sz w:val="18"/>
                <w:szCs w:val="18"/>
                <w:lang w:val="en-US" w:eastAsia="zh-CN"/>
              </w:rPr>
              <w:t>2</w:t>
            </w:r>
            <w:r>
              <w:rPr>
                <w:rFonts w:hint="default" w:ascii="Times New Roman" w:hAnsi="Times New Roman" w:cs="Times New Roman"/>
                <w:b/>
                <w:bCs/>
                <w:sz w:val="18"/>
                <w:szCs w:val="18"/>
                <w:lang w:val="en-US" w:eastAsia="zh-CN"/>
              </w:rPr>
              <w:t>3</w:t>
            </w:r>
          </w:p>
        </w:tc>
        <w:tc>
          <w:tcPr>
            <w:tcW w:w="1176" w:type="dxa"/>
            <w:tcBorders>
              <w:tl2br w:val="nil"/>
              <w:tr2bl w:val="nil"/>
            </w:tcBorders>
            <w:vAlign w:val="center"/>
          </w:tcPr>
          <w:p>
            <w:pPr>
              <w:keepNext w:val="0"/>
              <w:keepLines w:val="0"/>
              <w:widowControl/>
              <w:suppressLineNumbers w:val="0"/>
              <w:ind w:left="0" w:leftChars="0" w:firstLine="0" w:firstLineChars="0"/>
              <w:jc w:val="center"/>
              <w:textAlignment w:val="center"/>
              <w:rPr>
                <w:rFonts w:ascii="Times New Roman" w:hAnsi="宋体"/>
                <w:sz w:val="18"/>
                <w:szCs w:val="18"/>
              </w:rPr>
            </w:pPr>
            <w:r>
              <w:rPr>
                <w:rFonts w:hint="eastAsia" w:ascii="宋体" w:hAnsi="宋体" w:eastAsia="宋体" w:cs="宋体"/>
                <w:i w:val="0"/>
                <w:iCs w:val="0"/>
                <w:color w:val="000000"/>
                <w:kern w:val="0"/>
                <w:sz w:val="18"/>
                <w:szCs w:val="18"/>
                <w:u w:val="none"/>
                <w:lang w:val="en-US" w:eastAsia="zh-CN" w:bidi="ar"/>
              </w:rPr>
              <w:t>D440301J13</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建设施工技术实训</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r>
              <w:rPr>
                <w:rFonts w:hint="eastAsia" w:eastAsia="宋体" w:cs="Times New Roman"/>
                <w:b/>
                <w:bCs/>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03"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sz w:val="18"/>
                <w:szCs w:val="18"/>
              </w:rPr>
            </w:pPr>
            <w:bookmarkStart w:id="7" w:name="_GoBack" w:colFirst="2" w:colLast="2"/>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eastAsia"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24</w:t>
            </w:r>
          </w:p>
        </w:tc>
        <w:tc>
          <w:tcPr>
            <w:tcW w:w="1176" w:type="dxa"/>
            <w:tcBorders>
              <w:tl2br w:val="nil"/>
              <w:tr2bl w:val="nil"/>
            </w:tcBorders>
            <w:vAlign w:val="bottom"/>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D022326J22</w:t>
            </w:r>
          </w:p>
        </w:tc>
        <w:tc>
          <w:tcPr>
            <w:tcW w:w="153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入学教育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25</w:t>
            </w:r>
          </w:p>
        </w:tc>
        <w:tc>
          <w:tcPr>
            <w:tcW w:w="1176" w:type="dxa"/>
            <w:tcBorders>
              <w:tl2br w:val="nil"/>
              <w:tr2bl w:val="nil"/>
            </w:tcBorders>
            <w:vAlign w:val="bottom"/>
          </w:tcPr>
          <w:p>
            <w:pPr>
              <w:keepNext w:val="0"/>
              <w:keepLines w:val="0"/>
              <w:widowControl/>
              <w:suppressLineNumbers w:val="0"/>
              <w:spacing w:line="240" w:lineRule="auto"/>
              <w:ind w:left="0" w:leftChars="0" w:firstLine="0" w:firstLineChars="0"/>
              <w:jc w:val="center"/>
              <w:textAlignment w:val="bottom"/>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D022326J23</w:t>
            </w:r>
          </w:p>
        </w:tc>
        <w:tc>
          <w:tcPr>
            <w:tcW w:w="153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snapToGrid w:val="0"/>
                <w:color w:val="000000"/>
                <w:kern w:val="0"/>
                <w:sz w:val="18"/>
                <w:szCs w:val="18"/>
                <w:u w:val="none"/>
                <w:lang w:val="en-US" w:eastAsia="zh-CN" w:bidi="ar"/>
              </w:rPr>
              <w:t>毕业教育</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default"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16</w:t>
            </w: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w:t>
            </w:r>
          </w:p>
        </w:tc>
        <w:tc>
          <w:tcPr>
            <w:tcW w:w="37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bookmarkEnd w:id="7"/>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78"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cs="Times New Roman"/>
                <w:b/>
                <w:bCs/>
                <w:kern w:val="2"/>
                <w:sz w:val="18"/>
                <w:szCs w:val="18"/>
                <w:lang w:val="en-US" w:eastAsia="zh-CN" w:bidi="ar-SA"/>
              </w:rPr>
            </w:pPr>
            <w:r>
              <w:rPr>
                <w:rFonts w:hint="default" w:ascii="Times New Roman" w:hAnsi="Times New Roman" w:cs="Times New Roman"/>
                <w:b/>
                <w:bCs/>
                <w:sz w:val="18"/>
                <w:szCs w:val="18"/>
                <w:lang w:val="en-US" w:eastAsia="zh-CN"/>
              </w:rPr>
              <w:t>26</w:t>
            </w:r>
          </w:p>
        </w:tc>
        <w:tc>
          <w:tcPr>
            <w:tcW w:w="117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D022326J18</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毕业实习（周）</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46"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hint="default" w:ascii="Times New Roman" w:hAnsi="宋体" w:eastAsia="宋体"/>
                <w:b/>
                <w:bCs/>
                <w:sz w:val="18"/>
                <w:szCs w:val="18"/>
                <w:lang w:val="en-US" w:eastAsia="zh-CN"/>
              </w:rPr>
            </w:pPr>
            <w:r>
              <w:rPr>
                <w:rFonts w:hint="eastAsia" w:hAnsi="宋体" w:eastAsia="宋体"/>
                <w:b/>
                <w:bCs/>
                <w:sz w:val="18"/>
                <w:szCs w:val="18"/>
                <w:lang w:val="en-US" w:eastAsia="zh-CN"/>
              </w:rPr>
              <w:t>27</w:t>
            </w:r>
          </w:p>
        </w:tc>
        <w:tc>
          <w:tcPr>
            <w:tcW w:w="1176" w:type="dxa"/>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宋体" w:hAnsi="宋体" w:eastAsia="宋体" w:cs="宋体"/>
                <w:i w:val="0"/>
                <w:iCs w:val="0"/>
                <w:snapToGrid w:val="0"/>
                <w:color w:val="000000"/>
                <w:kern w:val="0"/>
                <w:sz w:val="18"/>
                <w:szCs w:val="18"/>
                <w:u w:val="none"/>
                <w:lang w:val="en-US" w:eastAsia="zh-CN" w:bidi="ar"/>
              </w:rPr>
              <w:t>D022326J19</w:t>
            </w:r>
          </w:p>
        </w:tc>
        <w:tc>
          <w:tcPr>
            <w:tcW w:w="1530"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8"/>
                <w:szCs w:val="18"/>
                <w:u w:val="none"/>
                <w:lang w:val="en-US" w:eastAsia="zh-CN" w:bidi="ar"/>
              </w:rPr>
            </w:pPr>
            <w:r>
              <w:rPr>
                <w:rFonts w:hint="eastAsia" w:ascii="宋体" w:hAnsi="宋体" w:eastAsia="宋体" w:cs="宋体"/>
                <w:i w:val="0"/>
                <w:iCs w:val="0"/>
                <w:color w:val="000000"/>
                <w:kern w:val="0"/>
                <w:sz w:val="21"/>
                <w:szCs w:val="21"/>
                <w:u w:val="none"/>
                <w:lang w:val="en-US" w:eastAsia="zh-CN" w:bidi="ar"/>
              </w:rPr>
              <w:t>毕业设计（周）</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snapToGrid w:val="0"/>
                <w:color w:val="000000"/>
                <w:kern w:val="0"/>
                <w:sz w:val="15"/>
                <w:szCs w:val="15"/>
                <w:u w:val="none"/>
                <w:lang w:val="en-US" w:eastAsia="zh-CN" w:bidi="ar"/>
              </w:rPr>
            </w:pPr>
            <w:r>
              <w:rPr>
                <w:rFonts w:hint="eastAsia" w:ascii="宋体" w:hAnsi="宋体" w:eastAsia="宋体" w:cs="宋体"/>
                <w:i w:val="0"/>
                <w:iCs w:val="0"/>
                <w:snapToGrid w:val="0"/>
                <w:color w:val="000000"/>
                <w:kern w:val="0"/>
                <w:sz w:val="15"/>
                <w:szCs w:val="15"/>
                <w:u w:val="none"/>
                <w:lang w:val="en-US" w:eastAsia="zh-CN" w:bidi="ar"/>
              </w:rPr>
              <w:t>必修</w:t>
            </w:r>
          </w:p>
        </w:tc>
        <w:tc>
          <w:tcPr>
            <w:tcW w:w="374"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48</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eastAsia" w:eastAsia="宋体" w:cs="Times New Roman"/>
                <w:b/>
                <w:bCs/>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800" w:type="dxa"/>
            <w:gridSpan w:val="6"/>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hint="eastAsia" w:ascii="Times New Roman" w:hAnsi="宋体"/>
                <w:sz w:val="18"/>
                <w:szCs w:val="18"/>
              </w:rPr>
              <w:t xml:space="preserve">  </w:t>
            </w:r>
            <w:r>
              <w:rPr>
                <w:rFonts w:ascii="Times New Roman" w:hAnsi="宋体"/>
                <w:sz w:val="18"/>
                <w:szCs w:val="18"/>
              </w:rPr>
              <w:t>合  计</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104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1664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1300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364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220</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356</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372</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340</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256</w:t>
            </w:r>
          </w:p>
        </w:tc>
        <w:tc>
          <w:tcPr>
            <w:tcW w:w="1147" w:type="dxa"/>
            <w:gridSpan w:val="3"/>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374" w:type="dxa"/>
            <w:gridSpan w:val="2"/>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p>
        </w:tc>
        <w:tc>
          <w:tcPr>
            <w:tcW w:w="4174" w:type="dxa"/>
            <w:gridSpan w:val="6"/>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sz w:val="18"/>
                <w:szCs w:val="18"/>
              </w:rPr>
            </w:pPr>
            <w:r>
              <w:rPr>
                <w:rFonts w:ascii="Times New Roman" w:hAnsi="宋体"/>
                <w:sz w:val="18"/>
                <w:szCs w:val="18"/>
              </w:rPr>
              <w:t>百分比（%）</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78.1</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21.9</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13.2</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21.4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21.4</w:t>
            </w:r>
          </w:p>
        </w:tc>
        <w:tc>
          <w:tcPr>
            <w:tcW w:w="37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22.4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20.4</w:t>
            </w:r>
          </w:p>
        </w:tc>
        <w:tc>
          <w:tcPr>
            <w:tcW w:w="375"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15.4</w:t>
            </w:r>
          </w:p>
        </w:tc>
        <w:tc>
          <w:tcPr>
            <w:tcW w:w="1147" w:type="dxa"/>
            <w:gridSpan w:val="3"/>
            <w:vMerge w:val="continue"/>
            <w:tcBorders>
              <w:tl2br w:val="nil"/>
              <w:tr2bl w:val="nil"/>
            </w:tcBorders>
            <w:vAlign w:val="center"/>
          </w:tcPr>
          <w:p>
            <w:pPr>
              <w:keepNext w:val="0"/>
              <w:keepLines w:val="0"/>
              <w:pageBreakBefore w:val="0"/>
              <w:kinsoku/>
              <w:wordWrap/>
              <w:overflowPunct/>
              <w:topLinePunct w:val="0"/>
              <w:autoSpaceDE/>
              <w:autoSpaceDN/>
              <w:bidi w:val="0"/>
              <w:adjustRightInd/>
              <w:spacing w:line="240" w:lineRule="exact"/>
              <w:ind w:firstLine="0" w:firstLineChars="0"/>
              <w:jc w:val="center"/>
              <w:rPr>
                <w:rFonts w:ascii="Times New Roman" w:hAnsi="宋体"/>
                <w:b/>
                <w:bCs/>
                <w:sz w:val="18"/>
                <w:szCs w:val="18"/>
              </w:rPr>
            </w:pPr>
          </w:p>
        </w:tc>
      </w:tr>
    </w:tbl>
    <w:p>
      <w:pPr>
        <w:bidi w:val="0"/>
        <w:rPr>
          <w:b/>
          <w:bCs/>
        </w:rPr>
      </w:pPr>
    </w:p>
    <w:p>
      <w:pPr>
        <w:bidi w:val="0"/>
        <w:rPr>
          <w:b/>
          <w:bCs/>
        </w:rPr>
      </w:pPr>
      <w:r>
        <w:rPr>
          <w:b/>
          <w:bCs/>
        </w:rPr>
        <w:t>备注：</w:t>
      </w:r>
    </w:p>
    <w:p>
      <w:pPr>
        <w:bidi w:val="0"/>
      </w:pPr>
      <w:r>
        <w:rPr>
          <w:rFonts w:hint="default" w:ascii="Times New Roman" w:hAnsi="Times New Roman" w:cs="Times New Roman"/>
        </w:rPr>
        <w:t>1</w:t>
      </w:r>
      <w:r>
        <w:rPr>
          <w:rFonts w:hint="eastAsia"/>
        </w:rPr>
        <w:t>.课程类别：高校也可根据实际情况自行确定课程分类。</w:t>
      </w:r>
    </w:p>
    <w:p>
      <w:pPr>
        <w:bidi w:val="0"/>
      </w:pPr>
      <w:r>
        <w:rPr>
          <w:rFonts w:hint="default" w:ascii="Times New Roman" w:hAnsi="Times New Roman" w:cs="Times New Roman"/>
        </w:rPr>
        <w:t>2</w:t>
      </w:r>
      <w:r>
        <w:rPr>
          <w:rFonts w:hint="eastAsia"/>
        </w:rPr>
        <w:t>.学分与学时换算，按照</w:t>
      </w:r>
      <w:r>
        <w:rPr>
          <w:rFonts w:hint="default" w:ascii="Times New Roman" w:hAnsi="Times New Roman" w:cs="Times New Roman"/>
        </w:rPr>
        <w:t>1</w:t>
      </w:r>
      <w:r>
        <w:rPr>
          <w:rFonts w:hint="eastAsia"/>
        </w:rPr>
        <w:t>学分</w:t>
      </w:r>
      <w:r>
        <w:rPr>
          <w:rFonts w:hint="default" w:ascii="Times New Roman" w:hAnsi="Times New Roman" w:cs="Times New Roman"/>
        </w:rPr>
        <w:t>16</w:t>
      </w:r>
      <w:r>
        <w:rPr>
          <w:rFonts w:hint="eastAsia"/>
        </w:rPr>
        <w:t>—</w:t>
      </w:r>
      <w:r>
        <w:rPr>
          <w:rFonts w:hint="default" w:ascii="Times New Roman" w:hAnsi="Times New Roman" w:cs="Times New Roman"/>
        </w:rPr>
        <w:t>18</w:t>
      </w:r>
      <w:r>
        <w:rPr>
          <w:rFonts w:hint="eastAsia"/>
        </w:rPr>
        <w:t>学时进行换算。</w:t>
      </w:r>
    </w:p>
    <w:p>
      <w:pPr>
        <w:bidi w:val="0"/>
      </w:pPr>
      <w:r>
        <w:rPr>
          <w:rFonts w:hint="default" w:ascii="Times New Roman" w:hAnsi="Times New Roman" w:cs="Times New Roman"/>
        </w:rPr>
        <w:t>3</w:t>
      </w:r>
      <w:r>
        <w:rPr>
          <w:rFonts w:hint="eastAsia"/>
        </w:rPr>
        <w:t>.请在考核方式中选择“</w:t>
      </w:r>
      <w:r>
        <w:rPr>
          <w:rFonts w:hint="eastAsia"/>
          <w:lang w:eastAsia="zh-CN"/>
        </w:rPr>
        <w:t>√</w:t>
      </w:r>
      <w:r>
        <w:rPr>
          <w:rFonts w:hint="eastAsia"/>
        </w:rPr>
        <w:t>”填写。</w:t>
      </w:r>
    </w:p>
    <w:p>
      <w:pPr>
        <w:widowControl/>
        <w:spacing w:line="460" w:lineRule="exact"/>
        <w:ind w:firstLine="413"/>
        <w:jc w:val="left"/>
      </w:pPr>
    </w:p>
    <w:sectPr>
      <w:pgSz w:w="11906" w:h="16838"/>
      <w:pgMar w:top="2098" w:right="1474" w:bottom="1984" w:left="1587" w:header="851" w:footer="992" w:gutter="0"/>
      <w:cols w:space="0" w:num="1"/>
      <w:rtlGutter w:val="0"/>
      <w:docGrid w:type="line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22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EzODYwYjBkYTJiZTNlYTYwOTdiOTUxODJjYzJmZGYifQ=="/>
  </w:docVars>
  <w:rsids>
    <w:rsidRoot w:val="7456133A"/>
    <w:rsid w:val="000109EE"/>
    <w:rsid w:val="0009725C"/>
    <w:rsid w:val="000E4F55"/>
    <w:rsid w:val="00140811"/>
    <w:rsid w:val="00142F09"/>
    <w:rsid w:val="001A4ABD"/>
    <w:rsid w:val="001B1AB5"/>
    <w:rsid w:val="001C2AE5"/>
    <w:rsid w:val="001F7CED"/>
    <w:rsid w:val="001F7F82"/>
    <w:rsid w:val="0021281A"/>
    <w:rsid w:val="00223E99"/>
    <w:rsid w:val="00231F56"/>
    <w:rsid w:val="00255E7B"/>
    <w:rsid w:val="002716DF"/>
    <w:rsid w:val="002E04F2"/>
    <w:rsid w:val="00317876"/>
    <w:rsid w:val="003332EC"/>
    <w:rsid w:val="0036031E"/>
    <w:rsid w:val="003C5506"/>
    <w:rsid w:val="003D3AB0"/>
    <w:rsid w:val="003D7C9B"/>
    <w:rsid w:val="003F0463"/>
    <w:rsid w:val="00410022"/>
    <w:rsid w:val="004651E9"/>
    <w:rsid w:val="004A7718"/>
    <w:rsid w:val="004B5EB0"/>
    <w:rsid w:val="00516F63"/>
    <w:rsid w:val="005406EA"/>
    <w:rsid w:val="00642D99"/>
    <w:rsid w:val="0071625C"/>
    <w:rsid w:val="007336D6"/>
    <w:rsid w:val="00737E5C"/>
    <w:rsid w:val="00772C2D"/>
    <w:rsid w:val="007739A1"/>
    <w:rsid w:val="007803B5"/>
    <w:rsid w:val="00783D80"/>
    <w:rsid w:val="007961E0"/>
    <w:rsid w:val="007B5A72"/>
    <w:rsid w:val="007E398F"/>
    <w:rsid w:val="007E3EC5"/>
    <w:rsid w:val="00864028"/>
    <w:rsid w:val="00902E77"/>
    <w:rsid w:val="00930797"/>
    <w:rsid w:val="0096103F"/>
    <w:rsid w:val="00992319"/>
    <w:rsid w:val="00A1081E"/>
    <w:rsid w:val="00A45D92"/>
    <w:rsid w:val="00A800D3"/>
    <w:rsid w:val="00A81850"/>
    <w:rsid w:val="00A87E9E"/>
    <w:rsid w:val="00AC585F"/>
    <w:rsid w:val="00B653D6"/>
    <w:rsid w:val="00C5097E"/>
    <w:rsid w:val="00C61BBE"/>
    <w:rsid w:val="00C82589"/>
    <w:rsid w:val="00CF31A4"/>
    <w:rsid w:val="00D547B2"/>
    <w:rsid w:val="00D7083E"/>
    <w:rsid w:val="00D75F26"/>
    <w:rsid w:val="00DA0E1F"/>
    <w:rsid w:val="00DF6073"/>
    <w:rsid w:val="00E17F10"/>
    <w:rsid w:val="00E413B5"/>
    <w:rsid w:val="00E70707"/>
    <w:rsid w:val="00ED0CDB"/>
    <w:rsid w:val="00F46A0D"/>
    <w:rsid w:val="00F928D9"/>
    <w:rsid w:val="03055C04"/>
    <w:rsid w:val="05B9090A"/>
    <w:rsid w:val="05F366DC"/>
    <w:rsid w:val="0A415BF0"/>
    <w:rsid w:val="12921721"/>
    <w:rsid w:val="1732540E"/>
    <w:rsid w:val="1772678D"/>
    <w:rsid w:val="182E2EDF"/>
    <w:rsid w:val="185E6154"/>
    <w:rsid w:val="1AE73BEC"/>
    <w:rsid w:val="2C9A4365"/>
    <w:rsid w:val="340E5DD7"/>
    <w:rsid w:val="34C11506"/>
    <w:rsid w:val="369439B5"/>
    <w:rsid w:val="3A7175CB"/>
    <w:rsid w:val="3CBD5004"/>
    <w:rsid w:val="3E090032"/>
    <w:rsid w:val="3E0D5026"/>
    <w:rsid w:val="469C7FBB"/>
    <w:rsid w:val="473962E3"/>
    <w:rsid w:val="4794285E"/>
    <w:rsid w:val="4DAA371F"/>
    <w:rsid w:val="4F2002A2"/>
    <w:rsid w:val="51535C65"/>
    <w:rsid w:val="51AB717C"/>
    <w:rsid w:val="51E14C9C"/>
    <w:rsid w:val="534D7664"/>
    <w:rsid w:val="5368197C"/>
    <w:rsid w:val="56465771"/>
    <w:rsid w:val="56E33010"/>
    <w:rsid w:val="58756610"/>
    <w:rsid w:val="59D444C8"/>
    <w:rsid w:val="5AB75A91"/>
    <w:rsid w:val="5BE65441"/>
    <w:rsid w:val="66FD3A95"/>
    <w:rsid w:val="67BD42BC"/>
    <w:rsid w:val="6888054A"/>
    <w:rsid w:val="6C475DF3"/>
    <w:rsid w:val="729530C1"/>
    <w:rsid w:val="7456133A"/>
    <w:rsid w:val="74565C14"/>
    <w:rsid w:val="74C36567"/>
    <w:rsid w:val="77312105"/>
    <w:rsid w:val="79C26266"/>
    <w:rsid w:val="7D2F4B35"/>
    <w:rsid w:val="7DC4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643" w:firstLineChars="200"/>
      <w:jc w:val="left"/>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2"/>
    <w:autoRedefine/>
    <w:qFormat/>
    <w:uiPriority w:val="0"/>
    <w:pPr>
      <w:keepNext/>
      <w:keepLines/>
      <w:spacing w:beforeLines="0" w:beforeAutospacing="0" w:afterLines="0" w:afterAutospacing="0" w:line="640" w:lineRule="exact"/>
      <w:ind w:firstLine="0" w:firstLineChars="0"/>
      <w:jc w:val="left"/>
      <w:outlineLvl w:val="0"/>
    </w:pPr>
    <w:rPr>
      <w:rFonts w:eastAsia="黑体"/>
      <w:kern w:val="44"/>
    </w:rPr>
  </w:style>
  <w:style w:type="paragraph" w:styleId="4">
    <w:name w:val="heading 2"/>
    <w:basedOn w:val="1"/>
    <w:next w:val="1"/>
    <w:link w:val="11"/>
    <w:autoRedefine/>
    <w:unhideWhenUsed/>
    <w:qFormat/>
    <w:uiPriority w:val="0"/>
    <w:pPr>
      <w:keepNext/>
      <w:keepLines/>
      <w:spacing w:beforeLines="0" w:beforeAutospacing="0" w:afterLines="0" w:afterAutospacing="0" w:line="640" w:lineRule="exact"/>
      <w:ind w:firstLine="0" w:firstLineChars="0"/>
      <w:outlineLvl w:val="1"/>
    </w:pPr>
    <w:rPr>
      <w:rFonts w:ascii="Arial" w:hAnsi="Arial" w:eastAsia="楷体_GB2312"/>
      <w:b/>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firstLineChars="200"/>
    </w:pPr>
    <w:rPr>
      <w:rFonts w:ascii="Times New Roman" w:hAnsi="Times New Roman"/>
      <w:kern w:val="0"/>
      <w:sz w:val="20"/>
    </w:rPr>
  </w:style>
  <w:style w:type="paragraph" w:styleId="5">
    <w:name w:val="footer"/>
    <w:basedOn w:val="1"/>
    <w:link w:val="10"/>
    <w:autoRedefine/>
    <w:qFormat/>
    <w:uiPriority w:val="0"/>
    <w:pPr>
      <w:tabs>
        <w:tab w:val="center" w:pos="4153"/>
        <w:tab w:val="right" w:pos="8306"/>
      </w:tabs>
      <w:snapToGrid w:val="0"/>
      <w:jc w:val="left"/>
    </w:pPr>
    <w:rPr>
      <w:sz w:val="18"/>
      <w:szCs w:val="18"/>
    </w:rPr>
  </w:style>
  <w:style w:type="paragraph" w:styleId="6">
    <w:name w:val="header"/>
    <w:basedOn w:val="1"/>
    <w:link w:val="9"/>
    <w:autoRedefine/>
    <w:qFormat/>
    <w:uiPriority w:val="0"/>
    <w:pPr>
      <w:pBdr>
        <w:bottom w:val="single" w:color="auto" w:sz="6" w:space="1"/>
      </w:pBdr>
      <w:tabs>
        <w:tab w:val="center" w:pos="4153"/>
        <w:tab w:val="right" w:pos="8306"/>
      </w:tabs>
      <w:snapToGrid w:val="0"/>
    </w:pPr>
    <w:rPr>
      <w:sz w:val="18"/>
      <w:szCs w:val="18"/>
    </w:rPr>
  </w:style>
  <w:style w:type="character" w:customStyle="1" w:styleId="9">
    <w:name w:val="页眉 字符"/>
    <w:basedOn w:val="8"/>
    <w:link w:val="6"/>
    <w:autoRedefine/>
    <w:qFormat/>
    <w:uiPriority w:val="0"/>
    <w:rPr>
      <w:kern w:val="2"/>
      <w:sz w:val="18"/>
      <w:szCs w:val="18"/>
    </w:rPr>
  </w:style>
  <w:style w:type="character" w:customStyle="1" w:styleId="10">
    <w:name w:val="页脚 字符"/>
    <w:basedOn w:val="8"/>
    <w:link w:val="5"/>
    <w:autoRedefine/>
    <w:qFormat/>
    <w:uiPriority w:val="0"/>
    <w:rPr>
      <w:kern w:val="2"/>
      <w:sz w:val="18"/>
      <w:szCs w:val="18"/>
    </w:rPr>
  </w:style>
  <w:style w:type="character" w:customStyle="1" w:styleId="11">
    <w:name w:val="标题 2 Char"/>
    <w:link w:val="4"/>
    <w:autoRedefine/>
    <w:qFormat/>
    <w:uiPriority w:val="0"/>
    <w:rPr>
      <w:rFonts w:ascii="Arial" w:hAnsi="Arial" w:eastAsia="楷体_GB2312"/>
      <w:b/>
    </w:rPr>
  </w:style>
  <w:style w:type="character" w:customStyle="1" w:styleId="12">
    <w:name w:val="标题 1 Char"/>
    <w:link w:val="3"/>
    <w:autoRedefine/>
    <w:qFormat/>
    <w:uiPriority w:val="0"/>
    <w:rPr>
      <w:rFonts w:eastAsia="黑体"/>
      <w:kern w:val="44"/>
    </w:rPr>
  </w:style>
  <w:style w:type="character" w:customStyle="1" w:styleId="13">
    <w:name w:val="font81"/>
    <w:basedOn w:val="8"/>
    <w:autoRedefine/>
    <w:qFormat/>
    <w:uiPriority w:val="0"/>
    <w:rPr>
      <w:rFonts w:hint="default" w:ascii="Arial" w:hAnsi="Arial" w:cs="Arial"/>
      <w:b/>
      <w:bCs/>
      <w:color w:val="000000"/>
      <w:sz w:val="15"/>
      <w:szCs w:val="15"/>
      <w:u w:val="none"/>
    </w:rPr>
  </w:style>
  <w:style w:type="character" w:customStyle="1" w:styleId="14">
    <w:name w:val="font91"/>
    <w:basedOn w:val="8"/>
    <w:autoRedefine/>
    <w:qFormat/>
    <w:uiPriority w:val="0"/>
    <w:rPr>
      <w:rFonts w:hint="eastAsia" w:ascii="宋体" w:hAnsi="宋体" w:eastAsia="宋体" w:cs="宋体"/>
      <w:color w:val="000000"/>
      <w:sz w:val="21"/>
      <w:szCs w:val="21"/>
      <w:u w:val="none"/>
    </w:rPr>
  </w:style>
  <w:style w:type="character" w:customStyle="1" w:styleId="15">
    <w:name w:val="font51"/>
    <w:basedOn w:val="8"/>
    <w:qFormat/>
    <w:uiPriority w:val="0"/>
    <w:rPr>
      <w:rFonts w:hint="eastAsia" w:ascii="宋体" w:hAnsi="宋体" w:eastAsia="宋体" w:cs="宋体"/>
      <w:b/>
      <w:bCs/>
      <w:color w:val="000000"/>
      <w:sz w:val="18"/>
      <w:szCs w:val="18"/>
      <w:u w:val="none"/>
    </w:rPr>
  </w:style>
  <w:style w:type="character" w:customStyle="1" w:styleId="16">
    <w:name w:val="font61"/>
    <w:basedOn w:val="8"/>
    <w:autoRedefine/>
    <w:qFormat/>
    <w:uiPriority w:val="0"/>
    <w:rPr>
      <w:rFonts w:hint="eastAsia" w:ascii="宋体" w:hAnsi="宋体" w:eastAsia="宋体" w:cs="宋体"/>
      <w:b/>
      <w:bCs/>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17</Pages>
  <Words>8858</Words>
  <Characters>9408</Characters>
  <Lines>60</Lines>
  <Paragraphs>16</Paragraphs>
  <TotalTime>0</TotalTime>
  <ScaleCrop>false</ScaleCrop>
  <LinksUpToDate>false</LinksUpToDate>
  <CharactersWithSpaces>9465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2022-01-12T04:33:00Z</dcterms:created>
  <dc:creator>修罗提莫</dc:creator>
  <cp:lastModifiedBy>人生</cp:lastModifiedBy>
  <dcterms:modified xsi:type="dcterms:W3CDTF">2024-03-19T13:11:31Z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88CBB1B8AC97405381288EF87406FE07</vt:lpwstr>
  </property>
</Properties>
</file>