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ind w:firstLine="0" w:firstLineChars="0"/>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德州科技职业学院高等学历继续教育</w:t>
      </w:r>
    </w:p>
    <w:p>
      <w:pPr>
        <w:keepNext w:val="0"/>
        <w:keepLines w:val="0"/>
        <w:pageBreakBefore w:val="0"/>
        <w:widowControl/>
        <w:kinsoku w:val="0"/>
        <w:wordWrap/>
        <w:overflowPunct/>
        <w:topLinePunct w:val="0"/>
        <w:autoSpaceDE w:val="0"/>
        <w:autoSpaceDN w:val="0"/>
        <w:bidi w:val="0"/>
        <w:adjustRightInd w:val="0"/>
        <w:snapToGrid w:val="0"/>
        <w:ind w:firstLine="0" w:firstLineChars="0"/>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现代物流管理专业人才培养方案</w:t>
      </w:r>
    </w:p>
    <w:p>
      <w:pPr>
        <w:pStyle w:val="3"/>
        <w:bidi w:val="0"/>
      </w:pPr>
      <w:r>
        <w:rPr>
          <w:rFonts w:hint="eastAsia"/>
        </w:rPr>
        <w:t>一、专业基本信息</w:t>
      </w:r>
    </w:p>
    <w:p>
      <w:pPr>
        <w:bidi w:val="0"/>
      </w:pPr>
      <w:r>
        <w:rPr>
          <w:rFonts w:hint="eastAsia"/>
        </w:rPr>
        <w:t>专业名称：</w:t>
      </w:r>
      <w:bookmarkStart w:id="0" w:name="_Hlk93472451"/>
      <w:r>
        <w:rPr>
          <w:rFonts w:hint="eastAsia"/>
        </w:rPr>
        <w:t>现代物流管理</w:t>
      </w:r>
      <w:bookmarkEnd w:id="0"/>
    </w:p>
    <w:p>
      <w:pPr>
        <w:bidi w:val="0"/>
      </w:pPr>
      <w:r>
        <w:rPr>
          <w:rFonts w:hint="eastAsia"/>
        </w:rPr>
        <w:t>专业代码：</w:t>
      </w:r>
      <w:r>
        <w:rPr>
          <w:rFonts w:hint="default" w:ascii="Times New Roman" w:hAnsi="Times New Roman" w:cs="Times New Roman"/>
        </w:rPr>
        <w:t>530802</w:t>
      </w:r>
    </w:p>
    <w:p>
      <w:pPr>
        <w:bidi w:val="0"/>
      </w:pPr>
      <w:r>
        <w:rPr>
          <w:rFonts w:hint="eastAsia"/>
        </w:rPr>
        <w:t>学科门类：财经商贸大类</w:t>
      </w:r>
    </w:p>
    <w:p>
      <w:pPr>
        <w:bidi w:val="0"/>
      </w:pPr>
      <w:r>
        <w:rPr>
          <w:rFonts w:hint="eastAsia"/>
        </w:rPr>
        <w:t>专业类别：物流类</w:t>
      </w:r>
    </w:p>
    <w:p>
      <w:pPr>
        <w:bidi w:val="0"/>
      </w:pPr>
      <w:r>
        <w:rPr>
          <w:rFonts w:hint="eastAsia"/>
        </w:rPr>
        <w:t>专业层次：高起专</w:t>
      </w:r>
    </w:p>
    <w:p>
      <w:pPr>
        <w:bidi w:val="0"/>
      </w:pPr>
      <w:r>
        <w:rPr>
          <w:rFonts w:hint="eastAsia"/>
        </w:rPr>
        <w:t xml:space="preserve">学    制： </w:t>
      </w:r>
      <w:r>
        <w:rPr>
          <w:rFonts w:hint="default" w:ascii="Times New Roman" w:hAnsi="Times New Roman" w:cs="Times New Roman"/>
        </w:rPr>
        <w:t>2</w:t>
      </w:r>
      <w:r>
        <w:rPr>
          <w:rFonts w:hint="eastAsia"/>
        </w:rPr>
        <w:t>.</w:t>
      </w:r>
      <w:r>
        <w:rPr>
          <w:rFonts w:hint="default" w:ascii="Times New Roman" w:hAnsi="Times New Roman" w:cs="Times New Roman"/>
        </w:rPr>
        <w:t>5</w:t>
      </w:r>
      <w:r>
        <w:rPr>
          <w:rFonts w:hint="eastAsia"/>
        </w:rPr>
        <w:t>年</w:t>
      </w:r>
    </w:p>
    <w:p>
      <w:pPr>
        <w:bidi w:val="0"/>
      </w:pPr>
      <w:r>
        <w:rPr>
          <w:rFonts w:hint="eastAsia"/>
        </w:rPr>
        <w:t>学习形式：函 授</w:t>
      </w:r>
    </w:p>
    <w:p>
      <w:pPr>
        <w:pStyle w:val="3"/>
        <w:bidi w:val="0"/>
      </w:pPr>
      <w:r>
        <w:rPr>
          <w:rFonts w:hint="eastAsia"/>
        </w:rPr>
        <w:t>二、招生对象和入学要求</w:t>
      </w:r>
    </w:p>
    <w:p>
      <w:pPr>
        <w:bidi w:val="0"/>
      </w:pPr>
      <w:r>
        <w:rPr>
          <w:rFonts w:hint="eastAsia"/>
        </w:rPr>
        <w:t>遵守中华人民共和国宪法和法律，高中阶段教育毕业、中等职业学校毕业或具备同等学力。身体健康，生活能自理，不影响所报专业学习。</w:t>
      </w:r>
    </w:p>
    <w:p>
      <w:pPr>
        <w:pStyle w:val="3"/>
        <w:bidi w:val="0"/>
      </w:pPr>
      <w:r>
        <w:rPr>
          <w:rFonts w:hint="eastAsia"/>
        </w:rPr>
        <w:t xml:space="preserve"> 三、培养目标</w:t>
      </w:r>
    </w:p>
    <w:p>
      <w:pPr>
        <w:bidi w:val="0"/>
      </w:pPr>
      <w:r>
        <w:rPr>
          <w:rFonts w:hint="eastAsia"/>
        </w:rPr>
        <w:t>本专业培养德、智、体、美、劳全面发展，适应社会主义市场经济需要，具有良好的科学文化素质，具有物流组织管理能力和市场开拓能力，能从事生产、建设、服务和管理领域一线物流岗位工作，能从事物流、制造等领域的采购、运输、仓储、配送、信息服务等业务操作与管理的工作，能参与物流方案的分析、设计、优化和组织实施工作，具有创新精神和较强实践能力的高素质技术技能型人才。</w:t>
      </w:r>
    </w:p>
    <w:p>
      <w:pPr>
        <w:spacing w:line="360" w:lineRule="auto"/>
        <w:ind w:left="0" w:leftChars="0" w:firstLine="0" w:firstLineChars="0"/>
        <w:rPr>
          <w:rFonts w:ascii="宋体" w:hAnsi="宋体" w:eastAsia="宋体" w:cs="宋体"/>
          <w:b/>
          <w:bCs/>
          <w:sz w:val="28"/>
          <w:szCs w:val="28"/>
        </w:rPr>
      </w:pPr>
      <w:r>
        <w:rPr>
          <w:rStyle w:val="13"/>
          <w:rFonts w:hint="eastAsia"/>
        </w:rPr>
        <w:t xml:space="preserve">四、培养要求      </w:t>
      </w:r>
      <w:r>
        <w:rPr>
          <w:rFonts w:hint="eastAsia" w:ascii="宋体" w:hAnsi="宋体" w:eastAsia="宋体" w:cs="宋体"/>
          <w:b/>
          <w:bCs/>
          <w:sz w:val="28"/>
          <w:szCs w:val="28"/>
        </w:rPr>
        <w:t xml:space="preserve">              </w:t>
      </w:r>
    </w:p>
    <w:p>
      <w:pPr>
        <w:bidi w:val="0"/>
      </w:pPr>
      <w:r>
        <w:rPr>
          <w:rFonts w:hint="eastAsia"/>
        </w:rPr>
        <w:t>本专业培养德、智、体、美、劳等全面发展，适应社会主义市场经济发展需要，服务区域经济建设，掌握扎实的物流管理专业必备的基础理论知识和专业技能，具有良好的诚信品质、敬业精神和责任意识、遵纪守法意识，面向物流生产和流通行业企业，培养在管理、服务第一线能胜任仓储管理、配送与运输管理、采购管理、货代和基层管理等工作。</w:t>
      </w:r>
    </w:p>
    <w:p>
      <w:pPr>
        <w:pStyle w:val="4"/>
        <w:bidi w:val="0"/>
      </w:pPr>
      <w:r>
        <w:rPr>
          <w:rFonts w:hint="eastAsia"/>
        </w:rPr>
        <w:t>（一）知识要求</w:t>
      </w:r>
    </w:p>
    <w:p>
      <w:pPr>
        <w:bidi w:val="0"/>
        <w:ind w:left="0" w:leftChars="0" w:firstLine="420" w:firstLineChars="0"/>
      </w:pPr>
      <w:r>
        <w:rPr>
          <w:rFonts w:hint="default" w:ascii="Times New Roman" w:hAnsi="Times New Roman" w:cs="Times New Roman"/>
        </w:rPr>
        <w:t>1</w:t>
      </w:r>
      <w:r>
        <w:rPr>
          <w:rFonts w:hint="eastAsia"/>
        </w:rPr>
        <w:t>、职业通识知识</w:t>
      </w:r>
    </w:p>
    <w:p>
      <w:pPr>
        <w:bidi w:val="0"/>
      </w:pPr>
      <w:r>
        <w:rPr>
          <w:rFonts w:hint="eastAsia"/>
        </w:rPr>
        <w:t>（</w:t>
      </w:r>
      <w:r>
        <w:rPr>
          <w:rFonts w:hint="default" w:ascii="Times New Roman" w:hAnsi="Times New Roman" w:cs="Times New Roman"/>
        </w:rPr>
        <w:t>1</w:t>
      </w:r>
      <w:r>
        <w:rPr>
          <w:rFonts w:hint="eastAsia"/>
        </w:rPr>
        <w:t>）理解马克思主义、毛泽东思想、邓小平理论、“三个代表”重要思想和科学发展观的基本知识。</w:t>
      </w:r>
    </w:p>
    <w:p>
      <w:pPr>
        <w:bidi w:val="0"/>
      </w:pPr>
      <w:r>
        <w:rPr>
          <w:rFonts w:hint="eastAsia"/>
        </w:rPr>
        <w:t>（</w:t>
      </w:r>
      <w:r>
        <w:rPr>
          <w:rFonts w:hint="default" w:ascii="Times New Roman" w:hAnsi="Times New Roman" w:cs="Times New Roman"/>
        </w:rPr>
        <w:t>2</w:t>
      </w:r>
      <w:r>
        <w:rPr>
          <w:rFonts w:hint="eastAsia"/>
        </w:rPr>
        <w:t>）掌握与专业相关的数学、英语、计算机应用操作等基本知识。</w:t>
      </w:r>
    </w:p>
    <w:p>
      <w:pPr>
        <w:bidi w:val="0"/>
      </w:pPr>
      <w:r>
        <w:rPr>
          <w:rFonts w:hint="eastAsia"/>
        </w:rPr>
        <w:t>（</w:t>
      </w:r>
      <w:r>
        <w:rPr>
          <w:rFonts w:hint="default" w:ascii="Times New Roman" w:hAnsi="Times New Roman" w:cs="Times New Roman"/>
        </w:rPr>
        <w:t>3</w:t>
      </w:r>
      <w:r>
        <w:rPr>
          <w:rFonts w:hint="eastAsia"/>
        </w:rPr>
        <w:t>）学会文字和表格处理，会使用常用办公软件等计算机办公应用技术。</w:t>
      </w:r>
    </w:p>
    <w:p>
      <w:pPr>
        <w:bidi w:val="0"/>
      </w:pPr>
      <w:r>
        <w:rPr>
          <w:rFonts w:hint="eastAsia"/>
        </w:rPr>
        <w:t>（</w:t>
      </w:r>
      <w:r>
        <w:rPr>
          <w:rFonts w:hint="default" w:ascii="Times New Roman" w:hAnsi="Times New Roman" w:cs="Times New Roman"/>
        </w:rPr>
        <w:t>4</w:t>
      </w:r>
      <w:r>
        <w:rPr>
          <w:rFonts w:hint="eastAsia"/>
        </w:rPr>
        <w:t>）具有阅读、熟练地会话和写作基本知识，能熟练阅读一般专业英语资料。</w:t>
      </w:r>
    </w:p>
    <w:p>
      <w:pPr>
        <w:bidi w:val="0"/>
        <w:rPr>
          <w:rFonts w:hint="eastAsia"/>
        </w:rPr>
      </w:pPr>
      <w:r>
        <w:rPr>
          <w:rFonts w:hint="eastAsia"/>
        </w:rPr>
        <w:t>（</w:t>
      </w:r>
      <w:r>
        <w:rPr>
          <w:rFonts w:hint="default" w:ascii="Times New Roman" w:hAnsi="Times New Roman" w:cs="Times New Roman"/>
        </w:rPr>
        <w:t>5</w:t>
      </w:r>
      <w:r>
        <w:rPr>
          <w:rFonts w:hint="eastAsia"/>
        </w:rPr>
        <w:t>）掌握科学锻炼身体的基本技能，养成良好的体育锻炼和卫生习惯，达到国家规定的学生体育训练合格标准。</w:t>
      </w:r>
    </w:p>
    <w:p>
      <w:pPr>
        <w:bidi w:val="0"/>
        <w:ind w:left="0" w:leftChars="0" w:firstLine="420" w:firstLineChars="0"/>
      </w:pPr>
      <w:r>
        <w:rPr>
          <w:rFonts w:hint="default" w:ascii="Times New Roman" w:hAnsi="Times New Roman" w:cs="Times New Roman"/>
        </w:rPr>
        <w:t>2</w:t>
      </w:r>
      <w:r>
        <w:rPr>
          <w:rFonts w:hint="eastAsia"/>
        </w:rPr>
        <w:t>、专业通用技术知识</w:t>
      </w:r>
    </w:p>
    <w:p>
      <w:pPr>
        <w:bidi w:val="0"/>
      </w:pPr>
      <w:r>
        <w:rPr>
          <w:rFonts w:hint="eastAsia"/>
        </w:rPr>
        <w:t>（</w:t>
      </w:r>
      <w:r>
        <w:rPr>
          <w:rFonts w:hint="default" w:ascii="Times New Roman" w:hAnsi="Times New Roman" w:cs="Times New Roman"/>
        </w:rPr>
        <w:t>1</w:t>
      </w:r>
      <w:r>
        <w:rPr>
          <w:rFonts w:hint="eastAsia"/>
        </w:rPr>
        <w:t>）具有本专业的基础知识和基本理论，如物流管理的基本概念、第三方物流、物流系统工程、物流成本、物流相关案例分析等知识。</w:t>
      </w:r>
    </w:p>
    <w:p>
      <w:pPr>
        <w:bidi w:val="0"/>
      </w:pPr>
      <w:r>
        <w:rPr>
          <w:rFonts w:hint="eastAsia"/>
        </w:rPr>
        <w:t>（</w:t>
      </w:r>
      <w:r>
        <w:rPr>
          <w:rFonts w:hint="default" w:ascii="Times New Roman" w:hAnsi="Times New Roman" w:cs="Times New Roman"/>
        </w:rPr>
        <w:t>2</w:t>
      </w:r>
      <w:r>
        <w:rPr>
          <w:rFonts w:hint="eastAsia"/>
        </w:rPr>
        <w:t>）熟悉行业相关法律法规，了解仓储管理、运输管理、配送管理、供应链管理、物品采购等基本工作任务。</w:t>
      </w:r>
    </w:p>
    <w:p>
      <w:pPr>
        <w:bidi w:val="0"/>
      </w:pPr>
      <w:r>
        <w:rPr>
          <w:rFonts w:hint="eastAsia"/>
        </w:rPr>
        <w:t>（</w:t>
      </w:r>
      <w:r>
        <w:rPr>
          <w:rFonts w:hint="default" w:ascii="Times New Roman" w:hAnsi="Times New Roman" w:cs="Times New Roman"/>
        </w:rPr>
        <w:t>3</w:t>
      </w:r>
      <w:r>
        <w:rPr>
          <w:rFonts w:hint="eastAsia"/>
        </w:rPr>
        <w:t>）掌握企业管理者必备的计划、组织、领导、控制等工作流程。</w:t>
      </w:r>
    </w:p>
    <w:p>
      <w:pPr>
        <w:bidi w:val="0"/>
        <w:ind w:left="0" w:leftChars="0" w:firstLine="420" w:firstLineChars="0"/>
      </w:pPr>
      <w:r>
        <w:rPr>
          <w:rFonts w:hint="default" w:ascii="Times New Roman" w:hAnsi="Times New Roman" w:cs="Times New Roman"/>
        </w:rPr>
        <w:t>3</w:t>
      </w:r>
      <w:r>
        <w:rPr>
          <w:rFonts w:hint="eastAsia"/>
        </w:rPr>
        <w:t>、专业核心知识</w:t>
      </w:r>
    </w:p>
    <w:p>
      <w:pPr>
        <w:bidi w:val="0"/>
      </w:pPr>
      <w:r>
        <w:rPr>
          <w:rFonts w:hint="eastAsia"/>
        </w:rPr>
        <w:t>（</w:t>
      </w:r>
      <w:r>
        <w:rPr>
          <w:rFonts w:hint="default" w:ascii="Times New Roman" w:hAnsi="Times New Roman" w:cs="Times New Roman"/>
        </w:rPr>
        <w:t>1</w:t>
      </w:r>
      <w:r>
        <w:rPr>
          <w:rFonts w:hint="eastAsia"/>
        </w:rPr>
        <w:t>）掌握仓储、运输、包装、配送、采购等的基本理论知识。</w:t>
      </w:r>
    </w:p>
    <w:p>
      <w:pPr>
        <w:bidi w:val="0"/>
      </w:pPr>
      <w:r>
        <w:rPr>
          <w:rFonts w:hint="eastAsia"/>
        </w:rPr>
        <w:t>（</w:t>
      </w:r>
      <w:r>
        <w:rPr>
          <w:rFonts w:hint="default" w:ascii="Times New Roman" w:hAnsi="Times New Roman" w:cs="Times New Roman"/>
        </w:rPr>
        <w:t>2</w:t>
      </w:r>
      <w:r>
        <w:rPr>
          <w:rFonts w:hint="eastAsia"/>
        </w:rPr>
        <w:t>）掌握供应链与物流的基本理论知识。</w:t>
      </w:r>
    </w:p>
    <w:p>
      <w:pPr>
        <w:bidi w:val="0"/>
      </w:pPr>
      <w:r>
        <w:rPr>
          <w:rFonts w:hint="eastAsia"/>
        </w:rPr>
        <w:t>（</w:t>
      </w:r>
      <w:r>
        <w:rPr>
          <w:rFonts w:hint="default" w:ascii="Times New Roman" w:hAnsi="Times New Roman" w:cs="Times New Roman"/>
        </w:rPr>
        <w:t>3</w:t>
      </w:r>
      <w:r>
        <w:rPr>
          <w:rFonts w:hint="eastAsia"/>
        </w:rPr>
        <w:t>）掌握第三方物流的基本理论知识。</w:t>
      </w:r>
    </w:p>
    <w:p>
      <w:pPr>
        <w:bidi w:val="0"/>
      </w:pPr>
      <w:r>
        <w:rPr>
          <w:rFonts w:hint="eastAsia"/>
        </w:rPr>
        <w:t>（</w:t>
      </w:r>
      <w:r>
        <w:rPr>
          <w:rFonts w:hint="default" w:ascii="Times New Roman" w:hAnsi="Times New Roman" w:cs="Times New Roman"/>
        </w:rPr>
        <w:t>4</w:t>
      </w:r>
      <w:r>
        <w:rPr>
          <w:rFonts w:hint="eastAsia"/>
        </w:rPr>
        <w:t>）掌握物流系统工程的基本理论知识。</w:t>
      </w:r>
    </w:p>
    <w:p>
      <w:pPr>
        <w:bidi w:val="0"/>
        <w:ind w:left="0" w:leftChars="0" w:firstLine="420" w:firstLineChars="0"/>
      </w:pPr>
      <w:r>
        <w:rPr>
          <w:rFonts w:hint="default" w:ascii="Times New Roman" w:hAnsi="Times New Roman" w:cs="Times New Roman"/>
        </w:rPr>
        <w:t>4</w:t>
      </w:r>
      <w:r>
        <w:rPr>
          <w:rFonts w:hint="eastAsia"/>
        </w:rPr>
        <w:t>、职业拓展知识</w:t>
      </w:r>
    </w:p>
    <w:p>
      <w:pPr>
        <w:bidi w:val="0"/>
      </w:pPr>
      <w:r>
        <w:rPr>
          <w:rFonts w:hint="eastAsia"/>
        </w:rPr>
        <w:t>（</w:t>
      </w:r>
      <w:r>
        <w:rPr>
          <w:rFonts w:hint="default" w:ascii="Times New Roman" w:hAnsi="Times New Roman" w:cs="Times New Roman"/>
        </w:rPr>
        <w:t>1</w:t>
      </w:r>
      <w:r>
        <w:rPr>
          <w:rFonts w:hint="eastAsia"/>
        </w:rPr>
        <w:t>）熟悉消费者的心理活动的基本规律及测定的基本知识；</w:t>
      </w:r>
    </w:p>
    <w:p>
      <w:pPr>
        <w:bidi w:val="0"/>
      </w:pPr>
      <w:r>
        <w:rPr>
          <w:rFonts w:hint="eastAsia"/>
        </w:rPr>
        <w:t>（</w:t>
      </w:r>
      <w:r>
        <w:rPr>
          <w:rFonts w:hint="default" w:ascii="Times New Roman" w:hAnsi="Times New Roman" w:cs="Times New Roman"/>
        </w:rPr>
        <w:t>2</w:t>
      </w:r>
      <w:r>
        <w:rPr>
          <w:rFonts w:hint="eastAsia"/>
        </w:rPr>
        <w:t>）具有一定的单证结算知识；</w:t>
      </w:r>
    </w:p>
    <w:p>
      <w:pPr>
        <w:bidi w:val="0"/>
        <w:rPr>
          <w:rFonts w:ascii="宋体" w:hAnsi="宋体" w:eastAsia="宋体" w:cs="宋体"/>
          <w:snapToGrid/>
          <w:color w:val="auto"/>
          <w:kern w:val="2"/>
          <w:szCs w:val="24"/>
        </w:rPr>
      </w:pPr>
      <w:r>
        <w:rPr>
          <w:rFonts w:hint="eastAsia"/>
        </w:rPr>
        <w:t>（</w:t>
      </w:r>
      <w:r>
        <w:rPr>
          <w:rFonts w:hint="default" w:ascii="Times New Roman" w:hAnsi="Times New Roman" w:cs="Times New Roman"/>
        </w:rPr>
        <w:t>3</w:t>
      </w:r>
      <w:r>
        <w:rPr>
          <w:rFonts w:hint="eastAsia"/>
        </w:rPr>
        <w:t>）具有一定的商品方面的知识。</w:t>
      </w:r>
    </w:p>
    <w:p>
      <w:pPr>
        <w:pStyle w:val="4"/>
        <w:bidi w:val="0"/>
      </w:pPr>
      <w:r>
        <w:rPr>
          <w:rFonts w:hint="eastAsia"/>
        </w:rPr>
        <w:t>（二）能力要求</w:t>
      </w:r>
    </w:p>
    <w:p>
      <w:pPr>
        <w:bidi w:val="0"/>
        <w:ind w:left="0" w:leftChars="0" w:firstLine="420" w:firstLineChars="0"/>
      </w:pPr>
      <w:r>
        <w:rPr>
          <w:rFonts w:hint="default" w:ascii="Times New Roman" w:hAnsi="Times New Roman" w:cs="Times New Roman"/>
        </w:rPr>
        <w:t>1</w:t>
      </w:r>
      <w:r>
        <w:rPr>
          <w:rFonts w:hint="eastAsia"/>
        </w:rPr>
        <w:t>、基本能力</w:t>
      </w:r>
    </w:p>
    <w:p>
      <w:pPr>
        <w:bidi w:val="0"/>
      </w:pPr>
      <w:r>
        <w:rPr>
          <w:rFonts w:hint="eastAsia"/>
        </w:rPr>
        <w:t>（</w:t>
      </w:r>
      <w:r>
        <w:rPr>
          <w:rFonts w:hint="default" w:ascii="Times New Roman" w:hAnsi="Times New Roman" w:cs="Times New Roman"/>
        </w:rPr>
        <w:t>1</w:t>
      </w:r>
      <w:r>
        <w:rPr>
          <w:rFonts w:hint="eastAsia"/>
        </w:rPr>
        <w:t>）具有良好的适应能力、人际交往能力、表达能力和组织管理能力。</w:t>
      </w:r>
    </w:p>
    <w:p>
      <w:pPr>
        <w:bidi w:val="0"/>
      </w:pPr>
      <w:r>
        <w:rPr>
          <w:rFonts w:hint="eastAsia"/>
        </w:rPr>
        <w:t>（</w:t>
      </w:r>
      <w:r>
        <w:rPr>
          <w:rFonts w:hint="default" w:ascii="Times New Roman" w:hAnsi="Times New Roman" w:cs="Times New Roman"/>
        </w:rPr>
        <w:t>2</w:t>
      </w:r>
      <w:r>
        <w:rPr>
          <w:rFonts w:hint="eastAsia"/>
        </w:rPr>
        <w:t>）具备基本的英语听说读写能力、计算机操作能力和物流软件的使用能力。</w:t>
      </w:r>
    </w:p>
    <w:p>
      <w:pPr>
        <w:bidi w:val="0"/>
      </w:pPr>
      <w:r>
        <w:rPr>
          <w:rFonts w:hint="eastAsia"/>
        </w:rPr>
        <w:t>（</w:t>
      </w:r>
      <w:r>
        <w:rPr>
          <w:rFonts w:hint="default" w:ascii="Times New Roman" w:hAnsi="Times New Roman" w:cs="Times New Roman"/>
        </w:rPr>
        <w:t>3</w:t>
      </w:r>
      <w:r>
        <w:rPr>
          <w:rFonts w:hint="eastAsia"/>
        </w:rPr>
        <w:t>）能够利用所学的专业知识分析问题、解决问题，具备较强的实践操作能力。</w:t>
      </w:r>
    </w:p>
    <w:p>
      <w:pPr>
        <w:bidi w:val="0"/>
      </w:pPr>
      <w:r>
        <w:rPr>
          <w:rFonts w:hint="eastAsia"/>
        </w:rPr>
        <w:t>（</w:t>
      </w:r>
      <w:r>
        <w:rPr>
          <w:rFonts w:hint="default" w:ascii="Times New Roman" w:hAnsi="Times New Roman" w:cs="Times New Roman"/>
        </w:rPr>
        <w:t>4</w:t>
      </w:r>
      <w:r>
        <w:rPr>
          <w:rFonts w:hint="eastAsia"/>
        </w:rPr>
        <w:t>）具有获取本专业前沿知识和相关学科知识的自学能力、创新意识和一定的社会活动能力。</w:t>
      </w:r>
    </w:p>
    <w:p>
      <w:pPr>
        <w:bidi w:val="0"/>
        <w:ind w:left="0" w:leftChars="0" w:firstLine="420" w:firstLineChars="0"/>
      </w:pPr>
      <w:r>
        <w:rPr>
          <w:rFonts w:hint="default" w:ascii="Times New Roman" w:hAnsi="Times New Roman" w:cs="Times New Roman"/>
        </w:rPr>
        <w:t>2</w:t>
      </w:r>
      <w:r>
        <w:rPr>
          <w:rFonts w:hint="eastAsia"/>
        </w:rPr>
        <w:t>、专业能力</w:t>
      </w:r>
    </w:p>
    <w:p>
      <w:pPr>
        <w:bidi w:val="0"/>
      </w:pPr>
      <w:r>
        <w:rPr>
          <w:rFonts w:hint="eastAsia"/>
        </w:rPr>
        <w:t>（</w:t>
      </w:r>
      <w:r>
        <w:rPr>
          <w:rFonts w:hint="default" w:ascii="Times New Roman" w:hAnsi="Times New Roman" w:cs="Times New Roman"/>
        </w:rPr>
        <w:t>1</w:t>
      </w:r>
      <w:r>
        <w:rPr>
          <w:rFonts w:hint="eastAsia"/>
        </w:rPr>
        <w:t>）具有从事相关行业所必需的仓储作业管理、仓储业务方案的实施、库存管理；选择运输方式、运输调度；编制配送作业计划、组织配送作业；需求预测、组织实施采购方案、供应商管理；制定生产物流方案、实施生产物流方案；国际物流、国际货运代理；商品包装与流通加工；物流信息管理等专业能力；</w:t>
      </w:r>
    </w:p>
    <w:p>
      <w:pPr>
        <w:bidi w:val="0"/>
      </w:pPr>
      <w:r>
        <w:rPr>
          <w:rFonts w:hint="eastAsia"/>
        </w:rPr>
        <w:t>（</w:t>
      </w:r>
      <w:r>
        <w:rPr>
          <w:rFonts w:hint="default" w:ascii="Times New Roman" w:hAnsi="Times New Roman" w:cs="Times New Roman"/>
        </w:rPr>
        <w:t>2</w:t>
      </w:r>
      <w:r>
        <w:rPr>
          <w:rFonts w:hint="eastAsia"/>
        </w:rPr>
        <w:t>）具有事务分析及策划能力，与生产管理人员、销售管理人员配合与协调的能力，具有协调物流业务各环节的能力，具有物流管理专业领域新技术的运用能力，具有创新能力和创业技能，具有继续学习和适应职业变化的发展能力等专业综合能力。</w:t>
      </w:r>
    </w:p>
    <w:p>
      <w:pPr>
        <w:pStyle w:val="4"/>
        <w:bidi w:val="0"/>
        <w:rPr>
          <w:rFonts w:ascii="宋体" w:hAnsi="宋体" w:eastAsia="宋体" w:cs="宋体"/>
          <w:b/>
          <w:bCs/>
          <w:szCs w:val="28"/>
        </w:rPr>
      </w:pPr>
      <w:r>
        <w:rPr>
          <w:rFonts w:hint="eastAsia"/>
        </w:rPr>
        <w:t>（三）素质要求</w:t>
      </w:r>
    </w:p>
    <w:p>
      <w:pPr>
        <w:bidi w:val="0"/>
      </w:pPr>
      <w:r>
        <w:rPr>
          <w:rFonts w:hint="eastAsia"/>
        </w:rPr>
        <w:t xml:space="preserve"> </w:t>
      </w:r>
      <w:r>
        <w:rPr>
          <w:rFonts w:hint="default" w:ascii="Times New Roman" w:hAnsi="Times New Roman" w:cs="Times New Roman"/>
        </w:rPr>
        <w:t>1</w:t>
      </w:r>
      <w:r>
        <w:rPr>
          <w:rFonts w:hint="eastAsia"/>
        </w:rPr>
        <w:t>、政治思想素质：热爱祖国、拥护党的基本路线和改革开放的政策，事业心强，有奉献精神；具有正确的世界观、人生观、价值观，遵纪守法；为人诚实、正直、谦虚、谨慎，具有良好的职业道德和公共道德。</w:t>
      </w:r>
    </w:p>
    <w:p>
      <w:pPr>
        <w:bidi w:val="0"/>
      </w:pPr>
      <w:r>
        <w:rPr>
          <w:rFonts w:hint="eastAsia"/>
        </w:rPr>
        <w:t xml:space="preserve"> </w:t>
      </w:r>
      <w:r>
        <w:rPr>
          <w:rFonts w:hint="default" w:ascii="Times New Roman" w:hAnsi="Times New Roman" w:cs="Times New Roman"/>
        </w:rPr>
        <w:t>2</w:t>
      </w:r>
      <w:r>
        <w:rPr>
          <w:rFonts w:hint="eastAsia"/>
        </w:rPr>
        <w:t>、文化素质：具有学习和从事专业工作必需的文化基础，具有良好的文化修养和审美能力；知识面宽，自学能力强；具有必备的礼仪知识和社交能力。</w:t>
      </w:r>
    </w:p>
    <w:p>
      <w:pPr>
        <w:bidi w:val="0"/>
      </w:pPr>
      <w:r>
        <w:rPr>
          <w:rFonts w:hint="eastAsia"/>
        </w:rPr>
        <w:t xml:space="preserve"> </w:t>
      </w:r>
      <w:r>
        <w:rPr>
          <w:rFonts w:hint="default" w:ascii="Times New Roman" w:hAnsi="Times New Roman" w:cs="Times New Roman"/>
        </w:rPr>
        <w:t>3</w:t>
      </w:r>
      <w:r>
        <w:rPr>
          <w:rFonts w:hint="eastAsia"/>
        </w:rPr>
        <w:t>、身体和心理素质：拥有健康的体魄，能适应岗位对体能的要求；具有健康的心理和乐观的人生态度；朝气蓬勃，积极向上，奋发进取；思路开阔、敏捷，善于处理和协调突发问题。</w:t>
      </w:r>
    </w:p>
    <w:p>
      <w:pPr>
        <w:bidi w:val="0"/>
      </w:pPr>
      <w:r>
        <w:rPr>
          <w:rFonts w:hint="eastAsia"/>
        </w:rPr>
        <w:t xml:space="preserve"> </w:t>
      </w:r>
      <w:r>
        <w:rPr>
          <w:rFonts w:hint="default" w:ascii="Times New Roman" w:hAnsi="Times New Roman" w:cs="Times New Roman"/>
        </w:rPr>
        <w:t>4</w:t>
      </w:r>
      <w:r>
        <w:rPr>
          <w:rFonts w:hint="eastAsia"/>
        </w:rPr>
        <w:t>、专业素质：具有从事专业工作所必需的专业知识和能力；具有创新精神、自觉学习、不断提高业务水平的态度和立业创业的意识。</w:t>
      </w:r>
    </w:p>
    <w:p>
      <w:pPr>
        <w:pStyle w:val="4"/>
        <w:bidi w:val="0"/>
      </w:pPr>
      <w:r>
        <w:rPr>
          <w:rFonts w:hint="eastAsia"/>
        </w:rPr>
        <w:t>（四）毕业要求</w:t>
      </w:r>
    </w:p>
    <w:p>
      <w:pPr>
        <w:bidi w:val="0"/>
      </w:pPr>
      <w:r>
        <w:rPr>
          <w:rFonts w:hint="eastAsia"/>
        </w:rPr>
        <w:t>按照教学计划要求，修完所有课程</w:t>
      </w:r>
      <w:r>
        <w:rPr>
          <w:rFonts w:hint="eastAsia"/>
          <w:lang w:val="en-US" w:eastAsia="zh-CN"/>
        </w:rPr>
        <w:t>并且及格</w:t>
      </w:r>
      <w:r>
        <w:rPr>
          <w:rFonts w:hint="eastAsia"/>
        </w:rPr>
        <w:t>，修满</w:t>
      </w:r>
      <w:r>
        <w:rPr>
          <w:rFonts w:hint="default" w:ascii="Times New Roman" w:hAnsi="Times New Roman" w:cs="Times New Roman"/>
          <w:lang w:val="en-US" w:eastAsia="zh-CN"/>
        </w:rPr>
        <w:t>100</w:t>
      </w:r>
      <w:r>
        <w:rPr>
          <w:rFonts w:hint="eastAsia"/>
        </w:rPr>
        <w:t>学分，</w:t>
      </w:r>
      <w:r>
        <w:rPr>
          <w:rFonts w:hint="eastAsia"/>
          <w:lang w:val="en-US" w:eastAsia="zh-CN"/>
        </w:rPr>
        <w:t>毕业实习和毕业设计均需及格，</w:t>
      </w:r>
      <w:r>
        <w:rPr>
          <w:rFonts w:hint="eastAsia"/>
        </w:rPr>
        <w:t>并经过思想品德鉴定为合格的毕业生，颁发成人高等教育专科毕业证书，国家承认学历。</w:t>
      </w:r>
    </w:p>
    <w:p>
      <w:pPr>
        <w:spacing w:line="360" w:lineRule="auto"/>
        <w:ind w:left="0" w:leftChars="0" w:firstLine="0" w:firstLineChars="0"/>
        <w:rPr>
          <w:rFonts w:ascii="宋体" w:hAnsi="宋体" w:eastAsia="宋体" w:cs="宋体"/>
          <w:b/>
          <w:bCs/>
          <w:sz w:val="28"/>
          <w:szCs w:val="28"/>
        </w:rPr>
      </w:pPr>
      <w:r>
        <w:rPr>
          <w:rStyle w:val="13"/>
          <w:rFonts w:hint="eastAsia"/>
        </w:rPr>
        <w:t xml:space="preserve">五、课程体系 </w:t>
      </w:r>
      <w:r>
        <w:rPr>
          <w:rFonts w:hint="eastAsia" w:ascii="宋体" w:hAnsi="宋体" w:eastAsia="宋体" w:cs="宋体"/>
          <w:b/>
          <w:bCs/>
          <w:sz w:val="28"/>
          <w:szCs w:val="28"/>
        </w:rPr>
        <w:t xml:space="preserve"> </w:t>
      </w:r>
    </w:p>
    <w:p>
      <w:pPr>
        <w:pStyle w:val="4"/>
        <w:bidi w:val="0"/>
        <w:rPr>
          <w:rFonts w:ascii="宋体" w:hAnsi="宋体" w:eastAsia="宋体" w:cs="宋体"/>
          <w:b/>
          <w:bCs/>
          <w:szCs w:val="28"/>
        </w:rPr>
      </w:pPr>
      <w:r>
        <w:rPr>
          <w:rFonts w:hint="eastAsia"/>
          <w:lang w:eastAsia="zh-CN"/>
        </w:rPr>
        <w:t>（</w:t>
      </w:r>
      <w:r>
        <w:rPr>
          <w:rFonts w:hint="eastAsia"/>
          <w:lang w:val="en-US" w:eastAsia="zh-CN"/>
        </w:rPr>
        <w:t>一</w:t>
      </w:r>
      <w:r>
        <w:rPr>
          <w:rFonts w:hint="eastAsia"/>
          <w:lang w:eastAsia="zh-CN"/>
        </w:rPr>
        <w:t>）</w:t>
      </w:r>
      <w:r>
        <w:rPr>
          <w:rFonts w:hint="eastAsia"/>
        </w:rPr>
        <w:t>课程体系框架</w:t>
      </w:r>
    </w:p>
    <w:tbl>
      <w:tblPr>
        <w:tblStyle w:val="7"/>
        <w:tblW w:w="10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306"/>
        <w:gridCol w:w="1319"/>
        <w:gridCol w:w="2130"/>
        <w:gridCol w:w="2550"/>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课程模块</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课程名称</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课程目标</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主要内容</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1</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cs="仿宋_GB2312"/>
                <w:sz w:val="24"/>
                <w:szCs w:val="24"/>
                <w:lang w:eastAsia="zh-CN"/>
              </w:rPr>
              <w:t>公共基础课</w:t>
            </w:r>
            <w:r>
              <w:rPr>
                <w:rFonts w:hint="eastAsia" w:ascii="仿宋_GB2312" w:hAnsi="仿宋_GB2312" w:cs="仿宋_GB2312"/>
                <w:sz w:val="24"/>
                <w:szCs w:val="24"/>
                <w:lang w:val="en-US" w:eastAsia="zh-CN"/>
              </w:rPr>
              <w:t>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思想道德与法治</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落实高校立德树人根本任务，打牢大学生成长成才的科学思想基础，引导大学生树立正确的世界观、人生观、价值观、道德观和法治观，提升思想道德素质和法治素养，提升大学生对思想政治理论课的获得感。</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马克思主义为指导，以习近平新时代中国特色社会主义思想为价值取向，以正确的世界观、人生观、价值观、道德观、法制观教育为主要内容，引导新时代青年大学生坚定理想信念，忠诚爱国，弘扬中国精神、自觉践行社会主义核心价值观。</w:t>
            </w:r>
          </w:p>
        </w:tc>
        <w:tc>
          <w:tcPr>
            <w:tcW w:w="207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严格落实《新时代高校思想政治理论课教学工作基本要求》，课堂教学为主，网络教学为辅，中班、小班授课，创新备课形式，综合运用多种教学方法手段，理论学习和实践体验相结合。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2</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毛泽东思想和中国特色社会主义理论体系概论</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对大学生进行系统的马克思主义理论教育，巩固马克思主义在高校意识形态领域指导地位，实现习近平新时代中国特色社会主义思想和党的十九大精神三进，培养担当民族复兴大任的时代新人。</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中国特色社会主义发展的历史轨迹，坚持不懈传播马克思主义科学理论尤其是习近平新时代中国特色社会主义思想基本理论，实现习近平新时代中国特色社会主义思想进教材进课堂进学生头脑，提高青年大学生政治思维、政治站位和政治定力，引导青年为新时代社会主义伟大民族复兴努力奋斗。</w:t>
            </w:r>
          </w:p>
        </w:tc>
        <w:tc>
          <w:tcPr>
            <w:tcW w:w="207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3</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形势与政策</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帮助大学生正确认识新时代国内外形势，深刻领会党的十八大以来党和国家事业取得的历史性成就、发生的历史性变革、面临的历史性机遇和挑战，第一时间推动党的理论创新成果进教材进课堂进学生头脑，引导大学生准确理解党的基本理论、基本路线、基本方略。</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的理论创新最新成果，新时代坚持和发展中国特色社会主义的生动实践，全面从严治党专题，党的政治建设、思想建设、组织建设、作风建设、纪律建设以及贯穿其中的制度建设的新举措新成效，我国经济社会发展，党中央关于经济建设、政治建设、文化建设、社会建设、生态文明建设的新决策新部署；港澳台工作和国际形势。</w:t>
            </w:r>
          </w:p>
        </w:tc>
        <w:tc>
          <w:tcPr>
            <w:tcW w:w="207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通过教学，引导学生正确认识世界和中国发展大势，正确认识中国特色和国际比较，正确认识时代责任和历史使命，正确认识远大抱负和脚踏实地。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74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4</w:t>
            </w:r>
          </w:p>
        </w:tc>
        <w:tc>
          <w:tcPr>
            <w:tcW w:w="1306"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19"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大学英语</w:t>
            </w:r>
          </w:p>
        </w:tc>
        <w:tc>
          <w:tcPr>
            <w:tcW w:w="213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使学生掌握良好的语言学习方法，具有一定的听、说、读、写的能力，激发学生学习英语的兴趣，了解东西方文化差异。</w:t>
            </w:r>
          </w:p>
        </w:tc>
        <w:tc>
          <w:tcPr>
            <w:tcW w:w="255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模拟真实的工作任务，阅读和撰写函电、电子邮件等应用文本，培养学生的实践、参与和创新能力。将英语口语用于医学工作，为与西方的医疗交流奠定一定基础。</w:t>
            </w:r>
          </w:p>
        </w:tc>
        <w:tc>
          <w:tcPr>
            <w:tcW w:w="2070" w:type="dxa"/>
            <w:tcBorders>
              <w:top w:val="single" w:color="auto" w:sz="4" w:space="0"/>
              <w:left w:val="single" w:color="auto" w:sz="4" w:space="0"/>
              <w:right w:val="single" w:color="auto" w:sz="4" w:space="0"/>
            </w:tcBorders>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能够掌握基础的英语知识，同时，注重口语的练习，将课堂学习与课下生活相结合，提高英语水平。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74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5</w:t>
            </w:r>
          </w:p>
        </w:tc>
        <w:tc>
          <w:tcPr>
            <w:tcW w:w="1306"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cs="仿宋_GB2312"/>
                <w:sz w:val="24"/>
                <w:szCs w:val="24"/>
                <w:lang w:eastAsia="zh-CN"/>
              </w:rPr>
              <w:t>公共基础课</w:t>
            </w:r>
          </w:p>
        </w:tc>
        <w:tc>
          <w:tcPr>
            <w:tcW w:w="1319"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18"/>
                <w:lang w:val="en-US" w:eastAsia="zh-CN"/>
              </w:rPr>
              <w:t>习近平新时代中国特色社会主义思想概论</w:t>
            </w:r>
          </w:p>
        </w:tc>
        <w:tc>
          <w:tcPr>
            <w:tcW w:w="213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18"/>
              </w:rPr>
              <w:t>坚持马克思主义基本立场、观点和方法，围绕党的二十大报告明确指出的“十个明确”“十四个坚持”“十三个方面成就”等内容体系，科学揭示了习近平新时代中国特色社会主义思想的主要思想和基本精神，科学揭示了新时代我们党治国理政重大原则方针，科学揭示了新时代党的创新指引下党和国家事业取得的历史性成就、发生的历史性变革，体现了理论逻辑、历史逻辑、实践逻辑的有机统一，对于培养兼具科学价值信仰与科学理论涵养的新时代青年意义重大。</w:t>
            </w:r>
          </w:p>
        </w:tc>
        <w:tc>
          <w:tcPr>
            <w:tcW w:w="255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本课程的主要内容包括习近平新时代中国特色社会主义思想的形成背景、发展脉络、理论创新和实践成果。</w:t>
            </w:r>
            <w:r>
              <w:rPr>
                <w:rFonts w:hint="eastAsia" w:ascii="仿宋_GB2312" w:hAnsi="仿宋_GB2312" w:cs="仿宋_GB2312"/>
                <w:sz w:val="24"/>
                <w:szCs w:val="18"/>
                <w:lang w:val="en-US" w:eastAsia="zh-CN"/>
              </w:rPr>
              <w:t>同时包含</w:t>
            </w:r>
            <w:r>
              <w:rPr>
                <w:rFonts w:hint="eastAsia" w:ascii="仿宋_GB2312" w:hAnsi="仿宋_GB2312" w:eastAsia="仿宋_GB2312" w:cs="仿宋_GB2312"/>
                <w:sz w:val="24"/>
                <w:szCs w:val="18"/>
                <w:lang w:val="en-US" w:eastAsia="zh-CN"/>
              </w:rPr>
              <w:t>习近平新时代中国特色社会主义思想的基本原理、基本方略和基本要求，包括坚持党的全面领导、坚持中国特色社会主义道路、坚持人民主体地位、坚持全面深化改革、坚持全面依法治国、坚持社会主义核心价值观等重要内容。这些思想是中国共产党领导中国人民长期奋斗的科学指南，是中国特色社会主义事业的行动指南，对于实现中华民族伟大复兴具有重要意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p>
        </w:tc>
        <w:tc>
          <w:tcPr>
            <w:tcW w:w="207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18"/>
                <w:lang w:val="en-US" w:eastAsia="zh-CN"/>
              </w:rPr>
              <w:t>在教学过程中，应坚持以马克思列宁主义、毛泽东思想、邓小平理论、“三个代表”重要思想、科学发展观、习近平新时代中国特色社会主义思想为指导，深入贯彻落实党的二十大精神，确保教学内容的政治性、思想性、理论性和时代性。采取灵活多样的教学方法和手段，激发学生的学习兴趣和积极性，注重理论与实践相结合，培养学生的创新思维和实践能力。同时，还应加强对学生的思想政治教育，引导学生树立正确的世界观、人生观和价值观，坚定理想信念，为实现中华民族伟大复兴的中国梦贡献青春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6</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计算机应用基础</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）掌握计算机的基础知识和基本概念；了解微机硬件系统的基本组成；了解操作系统的功能，掌握</w:t>
            </w:r>
            <w:r>
              <w:rPr>
                <w:rFonts w:hint="default" w:ascii="Times New Roman" w:hAnsi="Times New Roman" w:eastAsia="仿宋_GB2312" w:cs="Times New Roman"/>
                <w:sz w:val="24"/>
                <w:szCs w:val="24"/>
              </w:rPr>
              <w:t>Windows7</w:t>
            </w:r>
            <w:r>
              <w:rPr>
                <w:rFonts w:hint="eastAsia" w:ascii="仿宋_GB2312" w:hAnsi="仿宋_GB2312" w:eastAsia="仿宋_GB2312" w:cs="仿宋_GB2312"/>
                <w:sz w:val="24"/>
                <w:szCs w:val="24"/>
              </w:rPr>
              <w:t>的基本操作方法</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）熟练使用微软</w:t>
            </w:r>
            <w:r>
              <w:rPr>
                <w:rFonts w:hint="default" w:ascii="Times New Roman" w:hAnsi="Times New Roman" w:eastAsia="仿宋_GB2312" w:cs="Times New Roman"/>
                <w:sz w:val="24"/>
                <w:szCs w:val="24"/>
              </w:rPr>
              <w:t>Office2010</w:t>
            </w:r>
            <w:r>
              <w:rPr>
                <w:rFonts w:hint="eastAsia" w:ascii="仿宋_GB2312" w:hAnsi="仿宋_GB2312" w:eastAsia="仿宋_GB2312" w:cs="仿宋_GB2312"/>
                <w:sz w:val="24"/>
                <w:szCs w:val="24"/>
              </w:rPr>
              <w:t>软件如：</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）掌握计算机信息技术安全知识和病毒的防治知识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）计算机网络的基础知识及</w:t>
            </w:r>
            <w:r>
              <w:rPr>
                <w:rFonts w:hint="default" w:ascii="Times New Roman" w:hAnsi="Times New Roman" w:eastAsia="仿宋_GB2312" w:cs="Times New Roman"/>
                <w:sz w:val="24"/>
                <w:szCs w:val="24"/>
              </w:rPr>
              <w:t>Internet</w:t>
            </w:r>
            <w:r>
              <w:rPr>
                <w:rFonts w:hint="eastAsia" w:ascii="仿宋_GB2312" w:hAnsi="仿宋_GB2312" w:eastAsia="仿宋_GB2312" w:cs="仿宋_GB2312"/>
                <w:sz w:val="24"/>
                <w:szCs w:val="24"/>
              </w:rPr>
              <w:t>网的基本操作。</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）计算机的基础知识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Windows</w:t>
            </w:r>
            <w:r>
              <w:rPr>
                <w:rFonts w:hint="eastAsia" w:ascii="仿宋_GB2312" w:hAnsi="仿宋_GB2312" w:eastAsia="仿宋_GB2312" w:cs="仿宋_GB2312"/>
                <w:sz w:val="24"/>
                <w:szCs w:val="24"/>
              </w:rPr>
              <w:t>基本操作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）文字处理软件</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使用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）电子表格软件</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的使用</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）幻灯片制作软件</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的操作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6</w:t>
            </w:r>
            <w:r>
              <w:rPr>
                <w:rFonts w:hint="eastAsia" w:ascii="仿宋_GB2312" w:hAnsi="仿宋_GB2312" w:eastAsia="仿宋_GB2312" w:cs="仿宋_GB2312"/>
                <w:sz w:val="24"/>
                <w:szCs w:val="24"/>
              </w:rPr>
              <w:t>）计算机的网络及安全处理。</w:t>
            </w:r>
          </w:p>
        </w:tc>
        <w:tc>
          <w:tcPr>
            <w:tcW w:w="207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教学指导思想是在有限的时间内精讲多练，培养学生的实际动手能力，自学能力、开拓创新能力和综合处理能力。理论学时和上机学时的比例设置为</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，让学生有更多的时间练习操作性的知识。通过实验指导给出详细的操作步骤。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7</w:t>
            </w:r>
          </w:p>
        </w:tc>
        <w:tc>
          <w:tcPr>
            <w:tcW w:w="1306"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应用文写作</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对各类常用应用文体写作的教学，使学生了解各类应用文体写作的基本格式与写作要求，掌握应用写作的方法和技巧，能熟练地写好自己所学专业和从事的职业密切相关的常用应用文，以适应社会实践的需要。</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主要内容包括：应用文基础知识、公务交往文书、事务交往文书、传播交往文书、经济交往文书、科技交往文书、求职交往文书、礼仪交往文书。</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什么是应用文，应用文有什么特点、有哪些种类；熟悉各类常用应用文书的文体格式、写作方法和写作规律，明白“为何写”、“些什么”、“怎样写”；提高分析、评鉴能力，提高各类常用应用文体尤其是事务文书和日常应用文书的写作与运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8</w:t>
            </w:r>
          </w:p>
        </w:tc>
        <w:tc>
          <w:tcPr>
            <w:tcW w:w="1306"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党史（四史类）</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通过本门课程的学习，掌握中共党史的发展脉络、取得的伟大功绩和成功经验等基本知识，提高分析问题解决问题的能力，培养与本专业相应的政治素质。</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包括：中国共产党的创立时期、国共合作的大革命时期、土地革命战争时期、抗日战争时期、全国解放战争时期、从新民主主义向社会主义的转变时期、开始全面建设社会主义时期、“文化大革命”时期、建设有中国特色社会主义的新时期。</w:t>
            </w:r>
          </w:p>
        </w:tc>
        <w:tc>
          <w:tcPr>
            <w:tcW w:w="2070" w:type="dxa"/>
            <w:tcBorders>
              <w:top w:val="single" w:color="auto" w:sz="4" w:space="0"/>
              <w:left w:val="single" w:color="auto" w:sz="4" w:space="0"/>
              <w:bottom w:val="single" w:color="auto" w:sz="4" w:space="0"/>
              <w:right w:val="single" w:color="auto" w:sz="4" w:space="0"/>
            </w:tcBorders>
            <w:vAlign w:val="center"/>
          </w:tcPr>
          <w:p>
            <w:pPr>
              <w:pStyle w:val="6"/>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通过本课程的学习，掌握中国共产党发展的历史，掌握马克思主义与中国革命、建设和改革实践相结合形成的毛泽东思想、邓小平理论和“三个代表”重要思想。通过教学，使同学们进一步认识没有共产党就没有新中国，只有社会主义才能救中国，并进一步提高学生联系实际、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9</w:t>
            </w:r>
          </w:p>
        </w:tc>
        <w:tc>
          <w:tcPr>
            <w:tcW w:w="1306"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专业课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物流学基础</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通过本课程的学习，使学生对现代物流管理的理念、功能及环节的基本知识有一个初步的了解，并掌握采购、运输、仓储、配送、物流信息技术等实务方面的一些知识和技能。</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本课程主要对物流在经济活动与组织中的作用、物流与客户服务的关系、采购与物流管理、物流与供应链未来发展的趋势等基本理论、基本原则、知识点进行描述。</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掌握物流的概念与现代物流的特征和理念，掌握物流管理的基本理论、基本方法、基本技能与思维模式；熟悉物流的各种功能，掌握各功能的合理化管理方法，了解物流系统思想，熟知物流的标准化管理。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10</w:t>
            </w:r>
          </w:p>
        </w:tc>
        <w:tc>
          <w:tcPr>
            <w:tcW w:w="1306" w:type="dxa"/>
            <w:tcBorders>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专业课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现代物流管理基础</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通过该课程的学习，使学生理解物流、物流管理、第三方物流管理及其他有关基本概念，掌握和应用物流管理的基本原理和方法，并能够理论联系实际，对于简单的物流问题能给出合理的解决方案。</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本课程的主要内容包括：物流管理基本原理、流通业物流管理、制造业物流管理、第三方物流管理、物流信息、供应链管理、物流组织机构与人员、物流发展热点问题等。</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要求学生掌握有关物流的基本概念、物流系统的基本要素、发展现状、将来的趋势等，并达到一定的物流理论水平，具有一定的实践能力，尤其是动手能力。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11</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专业课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国际贸易与实务</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通过本课程的学习，使学生掌握出口贸易的业务的各主要环节流程，了解在外贸实践环节中涉及到的证书、文件、单据等，掌握与国际贸易相关的法律、国际规则与惯例在实践中的恰当运用。</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贸易术语与国际贸易惯例；常用贸易术语；其他贸易术语；合同的标的物及其质量、数量与包装；国际货物运输；国际货物运输保险；进出口商品的价格；国际货款的收付；检验、索赔不可抗力与仲裁；交易磋商与国际货物买卖合同的订立；进出口合同的履行；经销、代理、招投标与拍卖。</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掌握进出口交易前的准备工作的基本知识；理解与合同磋商有关的惯例与法律；掌握商品的品名、品质、数量和包装的基本知识；掌握商品的价格、支付方式 、运输；保险的基本知识和原理、理解进出口合同的履行和善后的有关国际惯例和法律；了解其他的国际贸易方式；</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12</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val="en-US" w:eastAsia="zh-CN"/>
              </w:rPr>
              <w:t>专业课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管理学原理</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培养学生了解管理科学发展的一般规律和基本趋势，系统掌握管理的基本原理，全面领会各项管理职能的含义及其相互关系，能够用这些基本原理、方法去分析问题、解决问题。</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主要内容是管理学基本原理、各项管理职能的含义及其相互关系。</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明确企业或一般社会、经济组织管理的基本概念、基本原理和基本方法；了解管理思想和管理理论的产生与演变过程以及在这个过程中形成的主要理论流派的主要代表人物及其理论贡献；熟悉管理过程的主要工作内容及其组织方法；在熟练掌握上述内容的基础上，应能利用有关理论和方法，分析各类工商企业和一般社会、经济组织管理中的具体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13</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仓储管理</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通过本课程学习，使学生熟悉仓储工作过程，掌握仓储业务流程，在未来职业发展中，获得职业岗位的提升。</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本课程内容涵盖物流基层管理人员和中高级物流师所应了解和掌握的基本仓储管理知识和现代仓储管理理论。</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掌握仓储业务管理及进出库业务操作、商品分类及装卸搬运作业方式的组织、商品保管养护、库存管理的方式，以及现代仓储管理的经济核算、安全管理、计算机应用等基本技能。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14</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采购与供应管理</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通过本课程的学习，使学生掌握如何为采购与供应部门制定合理的采购与供应战略，能够对采购与供应管理绩效进行评价并据此指导采购与供应管理的工作。</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主要介绍采购战略、采购需求确定、供应商选择与管理方法、采购谈判、采购合同制订、采购质量保证与采购绩效评估等基本理论和方法。</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求学生了解供应链的含义、结构模型，供应链中采购管理的价值，供应链下采购模式的发展，掌握采购管理的基础理论、采购作业流程、采购谈判、供应商管理和采购绩效评估等内容，使学生对采购的组织管理、操作过程和技巧、绩效评估等有系统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15</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运输管理</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通过本课程学习使学生对运输的基本概念、运输管理的基本理论和操作实务有较为清晰的理解与掌握。</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本课程系统地阐述了物流运输管理的基本概念、理论和运作方法。</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掌握运输管理知识、现代运输管理思想与方法、运输合理化规划、运输过程控制与评价。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16</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库存管理</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通过库存管理的学习，促使学生掌握必要的库存管理技术，熟悉一般企业库存管理流程，熟悉应用库存管理工具降低企业成本。</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本课程主要介绍库存管理、综合生产计划、供应链中的库存管理与控制，库存管理绩效与标杆管理等基本知识。</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库存决策与库存控制的内容、库存管理技术的基本含义、库存成本的内容与分析、不确定条件下的库存管理、库存管理的方法与思想、库存管理模型等。理解库存管理过程中库存控制系统，库存管理模型的意义，</w:t>
            </w:r>
            <w:r>
              <w:rPr>
                <w:rFonts w:hint="default" w:ascii="Times New Roman" w:hAnsi="Times New Roman" w:eastAsia="仿宋_GB2312" w:cs="Times New Roman"/>
                <w:sz w:val="24"/>
                <w:szCs w:val="24"/>
              </w:rPr>
              <w:t>ABC</w:t>
            </w:r>
            <w:r>
              <w:rPr>
                <w:rFonts w:hint="eastAsia" w:ascii="仿宋_GB2312" w:hAnsi="仿宋_GB2312" w:eastAsia="仿宋_GB2312" w:cs="仿宋_GB2312"/>
                <w:sz w:val="24"/>
                <w:szCs w:val="24"/>
              </w:rPr>
              <w:t>分析法的原理及经济批量的计算等。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17</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供应链管理</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使学生掌握供应链管理和基于供应链进行物流管理的基本理论，初步具有基于供应链进行物流管理的能力，培养学生的综合物流管理素质。</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供应链管理是一门整合性科学，涉及信息技术、管理理论等多方面知识，全面介绍了当代供应链发展的最新理论、技术和方法。</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供应链管理战略的基本理论，能够进行供应链管理的战略匹配；掌握快速反应、有效客户反应、基于活动的成本控制、价值链分析这四种供应链管理的常用方法；掌握供应链管理下的顾客资产管理、生产与计划管理、库存控制、采购与物流管理、供应链绩效评价和企业激励机制、企业组织结构的基本理论和方法，能够基于供应链进行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napToGrid w:val="0"/>
                <w:color w:val="000000"/>
                <w:sz w:val="24"/>
                <w:szCs w:val="24"/>
                <w:lang w:val="en-US" w:eastAsia="zh-CN" w:bidi="ar-SA"/>
              </w:rPr>
            </w:pPr>
            <w:r>
              <w:rPr>
                <w:rFonts w:hint="default" w:ascii="Times New Roman" w:hAnsi="Times New Roman" w:eastAsia="仿宋_GB2312" w:cs="Times New Roman"/>
                <w:sz w:val="24"/>
                <w:szCs w:val="24"/>
              </w:rPr>
              <w:t>18</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物流市场营销</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使学生能够用“大营销”的观念，从“大营销”的角度来重新审视物流行业，掌握物流市场营销的操作流程，培养学生物流企业战略的思维能力、策略的筹划能力、分析和解决物流企业经营管理问题的能力、创新能力以及创业能力，为学生从事物流营销与管理工作打下坚实的基础。</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物流营销基础概述、物流营销市场分析、物流目标客户选择、物流服务项目开发、物流目标客户开发、物流营销策划制定、物流客户服务管理。</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在教学中要完成物流营销与管理工作，必须从感悟营销、物流市场分析(宏观环境分析、消费者分析、竞争者分析以及企业的</w:t>
            </w:r>
            <w:r>
              <w:rPr>
                <w:rFonts w:hint="default" w:ascii="Times New Roman" w:hAnsi="Times New Roman" w:eastAsia="仿宋_GB2312" w:cs="Times New Roman"/>
                <w:sz w:val="24"/>
                <w:szCs w:val="24"/>
              </w:rPr>
              <w:t>SWOT</w:t>
            </w:r>
            <w:r>
              <w:rPr>
                <w:rFonts w:hint="eastAsia" w:ascii="仿宋_GB2312" w:hAnsi="仿宋_GB2312" w:eastAsia="仿宋_GB2312" w:cs="仿宋_GB2312"/>
                <w:sz w:val="24"/>
                <w:szCs w:val="24"/>
              </w:rPr>
              <w:t>分析)开始，来制定企业的战略(竞争战略、市场细分、目标市场和市场定位)，进而制定物流企业的营销策略(产品与价格策略、渠道与促销策略、有形展示策略、人员和过程设计策略)，最后对其进行执行与控制。在仿真的情景教学下，始终以操作者身份、从营销管理的角度，完成物流企业从筹建开始到执行控制的整个业务流程和所有工作任务的项目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textAlignment w:val="baseline"/>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lang w:val="en-US" w:eastAsia="zh-CN"/>
              </w:rPr>
              <w:t>19</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国际货运代理实务</w:t>
            </w:r>
          </w:p>
        </w:tc>
        <w:tc>
          <w:tcPr>
            <w:tcW w:w="21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本课程主要让学生熟悉国际货运代理业务的整个流程。</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本课程主要讲述国际货运代理业务的基本知识和操作技能，具体包括各种运输方式业务及管理、国际商流业务、国际货运公约与相应法规、货运代理合同的洽商、签订及履行等。</w:t>
            </w:r>
          </w:p>
        </w:tc>
        <w:tc>
          <w:tcPr>
            <w:tcW w:w="2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能熟练描述出国际货运代理服务内容、掌握行业从业规范、按货运代理流程，处理揽货、订舱、托运、仓储、包装等货代业务; 掌握货物监管、监卸、分拨、中转、集装箱拼箱、拆箱等货代服务技能;熟练掌握国际多式联运、集运等货运组织方式方法以及熟练掌握货运代理咨询技能及其他国际货运代理业务。</w:t>
            </w:r>
          </w:p>
        </w:tc>
      </w:tr>
    </w:tbl>
    <w:p>
      <w:pPr>
        <w:pStyle w:val="4"/>
        <w:bidi w:val="0"/>
      </w:pPr>
      <w:r>
        <w:rPr>
          <w:rFonts w:hint="eastAsia"/>
          <w:lang w:eastAsia="zh-CN"/>
        </w:rPr>
        <w:t>（</w:t>
      </w:r>
      <w:r>
        <w:rPr>
          <w:rFonts w:hint="eastAsia"/>
          <w:lang w:val="en-US" w:eastAsia="zh-CN"/>
        </w:rPr>
        <w:t>二</w:t>
      </w:r>
      <w:r>
        <w:rPr>
          <w:rFonts w:hint="eastAsia"/>
          <w:lang w:eastAsia="zh-CN"/>
        </w:rPr>
        <w:t>）</w:t>
      </w:r>
      <w:r>
        <w:rPr>
          <w:rFonts w:hint="eastAsia"/>
        </w:rPr>
        <w:t>课程设置</w:t>
      </w:r>
    </w:p>
    <w:p>
      <w:pPr>
        <w:bidi w:val="0"/>
        <w:rPr>
          <w:rFonts w:ascii="宋体" w:hAnsi="宋体" w:eastAsia="宋体" w:cs="宋体"/>
          <w:snapToGrid/>
          <w:color w:val="auto"/>
          <w:kern w:val="2"/>
          <w:szCs w:val="24"/>
        </w:rPr>
      </w:pPr>
      <w:r>
        <w:rPr>
          <w:rFonts w:hint="eastAsia"/>
          <w:b/>
          <w:bCs/>
        </w:rPr>
        <w:t>本专业核心课程：</w:t>
      </w:r>
      <w:r>
        <w:rPr>
          <w:rFonts w:hint="eastAsia"/>
        </w:rPr>
        <w:t>《仓储管理》、《采购与供应管理》、《运输管理》、《库存管理》、《供应链管理》。</w:t>
      </w:r>
    </w:p>
    <w:p>
      <w:pPr>
        <w:pStyle w:val="4"/>
        <w:bidi w:val="0"/>
        <w:rPr>
          <w:rFonts w:hint="eastAsia"/>
        </w:rPr>
      </w:pPr>
      <w:r>
        <w:rPr>
          <w:rFonts w:hint="eastAsia"/>
          <w:lang w:eastAsia="zh-CN"/>
        </w:rPr>
        <w:t>（</w:t>
      </w:r>
      <w:r>
        <w:rPr>
          <w:rFonts w:hint="eastAsia"/>
          <w:lang w:val="en-US" w:eastAsia="zh-CN"/>
        </w:rPr>
        <w:t>三</w:t>
      </w:r>
      <w:r>
        <w:rPr>
          <w:rFonts w:hint="eastAsia"/>
          <w:lang w:eastAsia="zh-CN"/>
        </w:rPr>
        <w:t>）</w:t>
      </w:r>
      <w:r>
        <w:rPr>
          <w:rFonts w:hint="eastAsia"/>
        </w:rPr>
        <w:t>教学（学习） 方式</w:t>
      </w:r>
    </w:p>
    <w:p>
      <w:pPr>
        <w:bidi w:val="0"/>
      </w:pPr>
      <w:r>
        <w:rPr>
          <w:rFonts w:hint="eastAsia"/>
        </w:rPr>
        <w:t>线上</w:t>
      </w:r>
      <w:r>
        <w:rPr>
          <w:rFonts w:hint="eastAsia"/>
          <w:lang w:val="en-US" w:eastAsia="zh-CN"/>
        </w:rPr>
        <w:t>+面授</w:t>
      </w:r>
    </w:p>
    <w:p>
      <w:pPr>
        <w:pStyle w:val="4"/>
        <w:bidi w:val="0"/>
      </w:pPr>
      <w:r>
        <w:rPr>
          <w:rFonts w:hint="eastAsia"/>
          <w:lang w:eastAsia="zh-CN"/>
        </w:rPr>
        <w:t>（</w:t>
      </w:r>
      <w:r>
        <w:rPr>
          <w:rFonts w:hint="eastAsia"/>
          <w:lang w:val="en-US" w:eastAsia="zh-CN"/>
        </w:rPr>
        <w:t>四</w:t>
      </w:r>
      <w:r>
        <w:rPr>
          <w:rFonts w:hint="eastAsia"/>
          <w:lang w:eastAsia="zh-CN"/>
        </w:rPr>
        <w:t>）</w:t>
      </w:r>
      <w:r>
        <w:rPr>
          <w:rFonts w:hint="eastAsia"/>
        </w:rPr>
        <w:t>课程考核</w:t>
      </w:r>
    </w:p>
    <w:p>
      <w:pPr>
        <w:bidi w:val="0"/>
      </w:pPr>
      <w:r>
        <w:rPr>
          <w:rFonts w:hint="eastAsia"/>
          <w:lang w:val="en-US" w:eastAsia="zh-CN"/>
        </w:rPr>
        <w:t>公共基础课与专业课的期末考试均为闭卷考试，将过程性考核（平时成绩）与综结性考核（期末考试）相结合，比例设置为：最终成绩=平时成绩*</w:t>
      </w:r>
      <w:r>
        <w:rPr>
          <w:rFonts w:hint="default" w:ascii="Times New Roman" w:hAnsi="Times New Roman" w:cs="Times New Roman"/>
          <w:lang w:val="en-US" w:eastAsia="zh-CN"/>
        </w:rPr>
        <w:t>50</w:t>
      </w:r>
      <w:r>
        <w:rPr>
          <w:rFonts w:hint="eastAsia"/>
          <w:lang w:val="en-US" w:eastAsia="zh-CN"/>
        </w:rPr>
        <w:t>%+期末考试*</w:t>
      </w:r>
      <w:r>
        <w:rPr>
          <w:rFonts w:hint="default" w:ascii="Times New Roman" w:hAnsi="Times New Roman" w:cs="Times New Roman"/>
          <w:lang w:val="en-US" w:eastAsia="zh-CN"/>
        </w:rPr>
        <w:t>50</w:t>
      </w:r>
      <w:r>
        <w:rPr>
          <w:rFonts w:hint="eastAsia"/>
          <w:lang w:val="en-US" w:eastAsia="zh-CN"/>
        </w:rPr>
        <w:t>%(具体比例可根据个课程特点微调，切记期末考试不得少于</w:t>
      </w:r>
      <w:r>
        <w:rPr>
          <w:rFonts w:hint="default" w:ascii="Times New Roman" w:hAnsi="Times New Roman" w:cs="Times New Roman"/>
          <w:lang w:val="en-US" w:eastAsia="zh-CN"/>
        </w:rPr>
        <w:t>40</w:t>
      </w:r>
      <w:r>
        <w:rPr>
          <w:rFonts w:hint="eastAsia"/>
          <w:lang w:val="en-US" w:eastAsia="zh-CN"/>
        </w:rPr>
        <w:t>%)。</w:t>
      </w:r>
    </w:p>
    <w:p>
      <w:pPr>
        <w:pStyle w:val="3"/>
        <w:bidi w:val="0"/>
      </w:pPr>
      <w:r>
        <w:rPr>
          <w:rFonts w:hint="eastAsia"/>
        </w:rPr>
        <w:t>六、服务支持能力</w:t>
      </w:r>
      <w:bookmarkStart w:id="1" w:name="_Toc46303727"/>
    </w:p>
    <w:bookmarkEnd w:id="1"/>
    <w:p>
      <w:pPr>
        <w:pStyle w:val="4"/>
        <w:keepNext/>
        <w:keepLines/>
        <w:pageBreakBefore w:val="0"/>
        <w:widowControl/>
        <w:kinsoku w:val="0"/>
        <w:wordWrap/>
        <w:overflowPunct/>
        <w:topLinePunct w:val="0"/>
        <w:autoSpaceDE w:val="0"/>
        <w:autoSpaceDN w:val="0"/>
        <w:bidi w:val="0"/>
        <w:adjustRightInd w:val="0"/>
        <w:snapToGrid w:val="0"/>
        <w:spacing w:line="400" w:lineRule="exact"/>
        <w:textAlignment w:val="baseline"/>
      </w:pPr>
      <w:r>
        <w:rPr>
          <w:rFonts w:hint="eastAsia"/>
        </w:rPr>
        <w:t>（一）“双师结构，专兼结合”的教学团队是顺利进行人才培养模式改革、工学结合一体化课程开发，提高人才培养质量的根本保证。</w:t>
      </w:r>
    </w:p>
    <w:p>
      <w:pPr>
        <w:bidi w:val="0"/>
      </w:pPr>
      <w:r>
        <w:rPr>
          <w:rFonts w:hint="default" w:ascii="Times New Roman" w:hAnsi="Times New Roman" w:cs="Times New Roman"/>
        </w:rPr>
        <w:t>1</w:t>
      </w:r>
      <w:r>
        <w:rPr>
          <w:rFonts w:hint="eastAsia"/>
        </w:rPr>
        <w:t>.以“双师素质、双师结构”要求，建设师资队伍</w:t>
      </w:r>
    </w:p>
    <w:p>
      <w:pPr>
        <w:bidi w:val="0"/>
      </w:pPr>
      <w:r>
        <w:rPr>
          <w:rFonts w:hint="eastAsia"/>
        </w:rPr>
        <w:t>为了满足基于工作过程系统化课程教学改革的需要，本专业制订了师资培养的长期规划，采取多种措施、多种渠道有针对性地培养专兼结合的专业教学团队，努力提高团队的教学能力、课程开发能力和技术服务能力。</w:t>
      </w:r>
    </w:p>
    <w:p>
      <w:pPr>
        <w:bidi w:val="0"/>
      </w:pPr>
      <w:r>
        <w:rPr>
          <w:rFonts w:hint="default" w:ascii="Times New Roman" w:hAnsi="Times New Roman" w:cs="Times New Roman"/>
        </w:rPr>
        <w:t>2</w:t>
      </w:r>
      <w:r>
        <w:rPr>
          <w:rFonts w:hint="eastAsia"/>
        </w:rPr>
        <w:t>．形成支撑专业教学的“资源互补型”专业教学团队</w:t>
      </w:r>
    </w:p>
    <w:p>
      <w:pPr>
        <w:bidi w:val="0"/>
      </w:pPr>
      <w:r>
        <w:rPr>
          <w:rFonts w:hint="eastAsia"/>
        </w:rPr>
        <w:t>我们以提高教师实践能力为核心，全面实施以教学名师、实践能师、育人高师为主要内容的名师工程建设。专业教师主要从职业教育思想、职业教育课程标准开发的探索与实践、工学结合课程的改革实施三方面提升师资的高职教育理论水平，提升教学团队的整体职业技能和教育教学能力。</w:t>
      </w:r>
    </w:p>
    <w:p>
      <w:pPr>
        <w:bidi w:val="0"/>
      </w:pPr>
      <w:r>
        <w:rPr>
          <w:rFonts w:hint="default" w:ascii="Times New Roman" w:hAnsi="Times New Roman" w:cs="Times New Roman"/>
        </w:rPr>
        <w:t>3</w:t>
      </w:r>
      <w:r>
        <w:rPr>
          <w:rFonts w:hint="eastAsia"/>
        </w:rPr>
        <w:t>.人才引进，鼓励原有教师继续深造</w:t>
      </w:r>
    </w:p>
    <w:p>
      <w:pPr>
        <w:bidi w:val="0"/>
      </w:pPr>
      <w:r>
        <w:rPr>
          <w:rFonts w:hint="eastAsia"/>
        </w:rPr>
        <w:t>聘请高学历高职称教师给我校学生授课，使用各种政策鼓励教师继续深造，提升学历和学位，加强青年教师科研能力的培训，提升师资的社会服务能力。</w:t>
      </w:r>
    </w:p>
    <w:p>
      <w:pPr>
        <w:pStyle w:val="4"/>
        <w:bidi w:val="0"/>
      </w:pPr>
      <w:r>
        <w:rPr>
          <w:rFonts w:hint="eastAsia"/>
        </w:rPr>
        <w:t>（二）校内外实训基地</w:t>
      </w:r>
    </w:p>
    <w:p>
      <w:pPr>
        <w:bidi w:val="0"/>
      </w:pPr>
      <w:r>
        <w:rPr>
          <w:rFonts w:hint="eastAsia"/>
        </w:rPr>
        <w:t>校内外生产性实训实习基地建设，是专业内涵建设和工学结合课程改革能否成功的支撑条件。我们以专业课程建设发展规划为依据，课训引导，加大支撑课程教学和生产性实训要求的实验实训条件建设力度，以此推动课改的进一步深化，提升课程教学质量水平。</w:t>
      </w:r>
    </w:p>
    <w:p>
      <w:pPr>
        <w:pStyle w:val="4"/>
        <w:bidi w:val="0"/>
      </w:pPr>
      <w:r>
        <w:rPr>
          <w:rFonts w:hint="eastAsia"/>
        </w:rPr>
        <w:t>（三）借力慕课平台，构建网络教学资源，改善教学方法</w:t>
      </w:r>
    </w:p>
    <w:p>
      <w:pPr>
        <w:bidi w:val="0"/>
        <w:rPr>
          <w:rFonts w:ascii="宋体" w:hAnsi="宋体" w:eastAsia="宋体" w:cs="宋体"/>
          <w:position w:val="22"/>
          <w:szCs w:val="28"/>
        </w:rPr>
      </w:pPr>
      <w:r>
        <w:rPr>
          <w:rFonts w:hint="eastAsia"/>
        </w:rPr>
        <w:t>传统的教学方式“灌输式”的将教材的知识点传授给学生，已经不再适合，我们充分利用学校引进的慕课教学平台，推进教学模式和教学方法的改革，从而促进及教学资源库建设。专业涉及到专业核心的课程，应在平台上创建课程、内容共享、要跟踪学习过程并控制、在线测试和作业发布、线上进行交流互动、成绩评测和学习成果反馈等教学流程，实现信息技术与教学过程的深度融合，调动学生自主学习的积极性。</w:t>
      </w:r>
    </w:p>
    <w:p>
      <w:pPr>
        <w:pStyle w:val="4"/>
        <w:bidi w:val="0"/>
      </w:pPr>
      <w:r>
        <w:rPr>
          <w:rFonts w:hint="eastAsia"/>
        </w:rPr>
        <w:t>（四）完善教学评价，加强质量管理</w:t>
      </w:r>
    </w:p>
    <w:p>
      <w:pPr>
        <w:bidi w:val="0"/>
      </w:pPr>
      <w:r>
        <w:rPr>
          <w:rFonts w:hint="eastAsia"/>
        </w:rPr>
        <w:t>教学评价以老师之间听课互评，学生对教师的评价、督导评价为主，包括教务处对学生的抽查和学生期末在系统上对教师的评价。实施教学质量监控最重要的组织，是最基层的教学单位，是实施教学及管理的单位，也是实施教学质量监控最直接与最关键的组织。我们学校教务处及各教学单位严格按照评价要求认真组织和布置，坚持实事求是、客观公正，严禁夸大或违反评价原则。</w:t>
      </w:r>
    </w:p>
    <w:p>
      <w:pPr>
        <w:pStyle w:val="3"/>
        <w:bidi w:val="0"/>
      </w:pPr>
      <w:r>
        <w:rPr>
          <w:rFonts w:hint="eastAsia"/>
        </w:rPr>
        <w:t>七、教学计划进程表</w:t>
      </w:r>
    </w:p>
    <w:p>
      <w:pPr>
        <w:spacing w:line="120" w:lineRule="exact"/>
        <w:rPr>
          <w:rFonts w:ascii="宋体" w:hAnsi="宋体" w:eastAsia="宋体" w:cs="宋体"/>
        </w:rPr>
      </w:pPr>
    </w:p>
    <w:tbl>
      <w:tblPr>
        <w:tblStyle w:val="7"/>
        <w:tblW w:w="868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6"/>
        <w:gridCol w:w="28"/>
        <w:gridCol w:w="346"/>
        <w:gridCol w:w="1086"/>
        <w:gridCol w:w="1620"/>
        <w:gridCol w:w="374"/>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类别</w:t>
            </w:r>
          </w:p>
        </w:tc>
        <w:tc>
          <w:tcPr>
            <w:tcW w:w="374" w:type="dxa"/>
            <w:gridSpan w:val="2"/>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序</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号</w:t>
            </w:r>
          </w:p>
        </w:tc>
        <w:tc>
          <w:tcPr>
            <w:tcW w:w="1086"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课程</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代码</w:t>
            </w:r>
          </w:p>
        </w:tc>
        <w:tc>
          <w:tcPr>
            <w:tcW w:w="1620"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课程性质</w:t>
            </w:r>
          </w:p>
        </w:tc>
        <w:tc>
          <w:tcPr>
            <w:tcW w:w="374"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总</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108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1620"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上</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下</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验</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过</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性</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终结性</w:t>
            </w:r>
          </w:p>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108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1620"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宋体" w:hAnsi="宋体" w:eastAsia="宋体" w:cs="宋体"/>
                <w:b/>
                <w:bCs/>
                <w:sz w:val="18"/>
                <w:szCs w:val="18"/>
              </w:rPr>
            </w:pP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考试</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bookmarkStart w:id="2" w:name="_GoBack" w:colFirst="16" w:colLast="16"/>
            <w:r>
              <w:rPr>
                <w:rFonts w:ascii="Times New Roman" w:hAnsi="宋体"/>
                <w:sz w:val="18"/>
                <w:szCs w:val="18"/>
              </w:rPr>
              <w:t>公</w:t>
            </w:r>
          </w:p>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ascii="Times New Roman" w:hAnsi="宋体"/>
                <w:sz w:val="18"/>
                <w:szCs w:val="18"/>
              </w:rPr>
              <w:t>共</w:t>
            </w:r>
          </w:p>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ascii="Times New Roman" w:hAnsi="宋体"/>
                <w:sz w:val="18"/>
                <w:szCs w:val="18"/>
              </w:rPr>
              <w:t>基</w:t>
            </w:r>
          </w:p>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ascii="Times New Roman" w:hAnsi="宋体"/>
                <w:sz w:val="18"/>
                <w:szCs w:val="18"/>
              </w:rPr>
              <w:t>础</w:t>
            </w:r>
          </w:p>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1</w:t>
            </w:r>
          </w:p>
        </w:tc>
        <w:tc>
          <w:tcPr>
            <w:tcW w:w="1086"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rPr>
                <w:rFonts w:ascii="Times New Roman" w:hAnsi="宋体"/>
                <w:sz w:val="15"/>
                <w:szCs w:val="15"/>
              </w:rPr>
            </w:pPr>
            <w:r>
              <w:rPr>
                <w:rFonts w:hint="eastAsia" w:ascii="宋体" w:hAnsi="宋体" w:eastAsia="宋体" w:cs="宋体"/>
                <w:i w:val="0"/>
                <w:iCs w:val="0"/>
                <w:color w:val="000000"/>
                <w:kern w:val="0"/>
                <w:sz w:val="18"/>
                <w:szCs w:val="18"/>
                <w:u w:val="none"/>
                <w:lang w:val="en-US" w:eastAsia="zh-CN" w:bidi="ar"/>
              </w:rPr>
              <w:t>D022326J02</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ascii="Times New Roman" w:hAnsi="宋体"/>
                <w:sz w:val="11"/>
                <w:szCs w:val="11"/>
              </w:rPr>
            </w:pPr>
            <w:r>
              <w:rPr>
                <w:rFonts w:hint="eastAsia" w:ascii="宋体" w:hAnsi="宋体" w:eastAsia="宋体" w:cs="宋体"/>
                <w:i w:val="0"/>
                <w:iCs w:val="0"/>
                <w:snapToGrid w:val="0"/>
                <w:color w:val="000000"/>
                <w:kern w:val="0"/>
                <w:sz w:val="18"/>
                <w:szCs w:val="18"/>
                <w:u w:val="none"/>
                <w:lang w:val="en-US" w:eastAsia="zh-CN" w:bidi="ar"/>
              </w:rPr>
              <w:t>毛泽东思想和中国特色社会主义理论体系概论</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64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2</w:t>
            </w:r>
          </w:p>
        </w:tc>
        <w:tc>
          <w:tcPr>
            <w:tcW w:w="1086"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D022326J20</w:t>
            </w:r>
          </w:p>
        </w:tc>
        <w:tc>
          <w:tcPr>
            <w:tcW w:w="162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48</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1086"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D022326J01</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1086" w:type="dxa"/>
            <w:tcBorders>
              <w:tl2br w:val="nil"/>
              <w:tr2bl w:val="nil"/>
            </w:tcBorders>
            <w:vAlign w:val="center"/>
          </w:tcPr>
          <w:tbl>
            <w:tblPr>
              <w:tblStyle w:val="7"/>
              <w:tblW w:w="119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3"/>
                      <w:szCs w:val="13"/>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形势与政策</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24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10</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10</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bookmarkEnd w:id="2"/>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5</w:t>
            </w:r>
          </w:p>
        </w:tc>
        <w:tc>
          <w:tcPr>
            <w:tcW w:w="1086"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D022326J12</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计算机文化基础</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64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56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64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6</w:t>
            </w:r>
          </w:p>
        </w:tc>
        <w:tc>
          <w:tcPr>
            <w:tcW w:w="1086" w:type="dxa"/>
            <w:tcBorders>
              <w:tl2br w:val="nil"/>
              <w:tr2bl w:val="nil"/>
            </w:tcBorders>
            <w:vAlign w:val="center"/>
          </w:tcPr>
          <w:tbl>
            <w:tblPr>
              <w:tblStyle w:val="7"/>
              <w:tblW w:w="110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tabs>
                      <w:tab w:val="left" w:pos="960"/>
                    </w:tabs>
                    <w:spacing w:line="240" w:lineRule="auto"/>
                    <w:ind w:left="0" w:leftChars="0" w:right="-390" w:rightChars="-1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D022326J11</w:t>
                  </w: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大学英语</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128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96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50"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7</w:t>
            </w:r>
          </w:p>
        </w:tc>
        <w:tc>
          <w:tcPr>
            <w:tcW w:w="1086"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D022326J14</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党史（四史类）</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选择性必修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Arial"/>
                <w:b/>
                <w:bCs/>
                <w:snapToGrid w:val="0"/>
                <w:color w:val="000000"/>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1086"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D022326J13</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应用文写作</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9</w:t>
            </w:r>
          </w:p>
        </w:tc>
        <w:tc>
          <w:tcPr>
            <w:tcW w:w="1086"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eastAsia="Arial" w:cs="Arial"/>
                <w:snapToGrid w:val="0"/>
                <w:color w:val="000000"/>
                <w:sz w:val="18"/>
                <w:szCs w:val="18"/>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D022326J17</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大学生心理健康教育</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ascii="Times New Roman" w:hAnsi="宋体"/>
                <w:sz w:val="18"/>
                <w:szCs w:val="18"/>
              </w:rPr>
              <w:t>专</w:t>
            </w:r>
          </w:p>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sz w:val="18"/>
                <w:szCs w:val="18"/>
                <w:lang w:val="en-US" w:eastAsia="zh-CN"/>
              </w:rPr>
            </w:pPr>
            <w:r>
              <w:rPr>
                <w:rFonts w:ascii="Times New Roman" w:hAnsi="宋体"/>
                <w:sz w:val="18"/>
                <w:szCs w:val="18"/>
              </w:rPr>
              <w:t>业</w:t>
            </w:r>
            <w:r>
              <w:rPr>
                <w:rFonts w:hint="eastAsia" w:ascii="Times New Roman" w:hAnsi="宋体" w:eastAsia="宋体"/>
                <w:sz w:val="18"/>
                <w:szCs w:val="18"/>
                <w:lang w:val="en-US" w:eastAsia="zh-CN"/>
              </w:rPr>
              <w:t>基础</w:t>
            </w:r>
          </w:p>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10</w:t>
            </w:r>
          </w:p>
        </w:tc>
        <w:tc>
          <w:tcPr>
            <w:tcW w:w="1086"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D530802J01</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 xml:space="preserve">物流学基础 </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5</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72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11</w:t>
            </w:r>
          </w:p>
        </w:tc>
        <w:tc>
          <w:tcPr>
            <w:tcW w:w="1086"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D530802J02</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国际贸易与实务</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7</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96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12</w:t>
            </w:r>
          </w:p>
        </w:tc>
        <w:tc>
          <w:tcPr>
            <w:tcW w:w="1086"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D530802J03</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现代物流管理基础</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5</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72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13</w:t>
            </w:r>
          </w:p>
        </w:tc>
        <w:tc>
          <w:tcPr>
            <w:tcW w:w="1086"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D530802J04</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管理学原理</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5</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72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10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eastAsia="宋体"/>
                <w:sz w:val="18"/>
                <w:szCs w:val="18"/>
              </w:rPr>
            </w:pPr>
            <w:r>
              <w:rPr>
                <w:rFonts w:hint="eastAsia" w:ascii="Times New Roman" w:hAnsi="宋体"/>
                <w:sz w:val="18"/>
                <w:szCs w:val="18"/>
              </w:rPr>
              <w:t>职业能力拓展课</w:t>
            </w: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14</w:t>
            </w:r>
          </w:p>
        </w:tc>
        <w:tc>
          <w:tcPr>
            <w:tcW w:w="1086"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D530802J05</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仓储管理 *</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7</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96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15</w:t>
            </w:r>
          </w:p>
        </w:tc>
        <w:tc>
          <w:tcPr>
            <w:tcW w:w="1086"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D530802J06</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采购与供应链管理 *</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7</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96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16</w:t>
            </w:r>
          </w:p>
        </w:tc>
        <w:tc>
          <w:tcPr>
            <w:tcW w:w="1086"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D530802J07</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运输管理 *</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7</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96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17</w:t>
            </w:r>
          </w:p>
        </w:tc>
        <w:tc>
          <w:tcPr>
            <w:tcW w:w="1086"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snapToGrid w:val="0"/>
                <w:color w:val="000000"/>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D530802J08</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库存管理 *</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7</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96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18</w:t>
            </w:r>
          </w:p>
        </w:tc>
        <w:tc>
          <w:tcPr>
            <w:tcW w:w="1086" w:type="dxa"/>
            <w:tcBorders>
              <w:tl2br w:val="nil"/>
              <w:tr2bl w:val="nil"/>
            </w:tcBorders>
            <w:vAlign w:val="center"/>
          </w:tcPr>
          <w:p>
            <w:pPr>
              <w:keepNext w:val="0"/>
              <w:keepLines w:val="0"/>
              <w:widowControl/>
              <w:suppressLineNumbers w:val="0"/>
              <w:ind w:left="0" w:leftChars="0" w:firstLine="0" w:firstLineChars="0"/>
              <w:jc w:val="both"/>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D530802J09</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供应链管理 *</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7</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96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112</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napToGrid w:val="0"/>
                <w:color w:val="000000"/>
                <w:kern w:val="2"/>
                <w:sz w:val="18"/>
                <w:szCs w:val="18"/>
                <w:lang w:val="en-US" w:eastAsia="zh-CN" w:bidi="ar-SA"/>
              </w:rPr>
              <w:t>19</w:t>
            </w:r>
          </w:p>
        </w:tc>
        <w:tc>
          <w:tcPr>
            <w:tcW w:w="1086" w:type="dxa"/>
            <w:tcBorders>
              <w:tl2br w:val="nil"/>
              <w:tr2bl w:val="nil"/>
            </w:tcBorders>
            <w:vAlign w:val="center"/>
          </w:tcPr>
          <w:p>
            <w:pPr>
              <w:keepNext w:val="0"/>
              <w:keepLines w:val="0"/>
              <w:widowControl/>
              <w:suppressLineNumbers w:val="0"/>
              <w:ind w:left="0" w:leftChars="0" w:firstLine="0" w:firstLineChars="0"/>
              <w:jc w:val="both"/>
              <w:textAlignment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D530802J10</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物流市场营销</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5</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64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z w:val="18"/>
                <w:szCs w:val="18"/>
                <w:lang w:val="en-US" w:eastAsia="zh-CN"/>
              </w:rPr>
              <w:t>2</w:t>
            </w:r>
            <w:r>
              <w:rPr>
                <w:rFonts w:hint="default" w:ascii="Times New Roman" w:hAnsi="Times New Roman" w:cs="Times New Roman"/>
                <w:b/>
                <w:bCs/>
                <w:sz w:val="18"/>
                <w:szCs w:val="18"/>
                <w:lang w:val="en-US" w:eastAsia="zh-CN"/>
              </w:rPr>
              <w:t>0</w:t>
            </w:r>
          </w:p>
        </w:tc>
        <w:tc>
          <w:tcPr>
            <w:tcW w:w="1086"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Times New Roman" w:hAnsi="宋体" w:eastAsia="仿宋_GB2312" w:cs="Arial"/>
                <w:snapToGrid w:val="0"/>
                <w:color w:val="000000"/>
                <w:sz w:val="18"/>
                <w:szCs w:val="18"/>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D530802J11</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国际货运代理实务</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宋体" w:eastAsia="宋体" w:cs="Times New Roman"/>
                <w:b/>
                <w:bCs/>
                <w:kern w:val="2"/>
                <w:sz w:val="18"/>
                <w:szCs w:val="18"/>
                <w:lang w:val="en-US" w:eastAsia="zh-CN" w:bidi="ar-SA"/>
              </w:rPr>
              <w:t>5</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宋体" w:eastAsia="宋体" w:cs="Times New Roman"/>
                <w:b/>
                <w:bCs/>
                <w:kern w:val="2"/>
                <w:sz w:val="18"/>
                <w:szCs w:val="18"/>
                <w:lang w:val="en-US" w:eastAsia="zh-CN" w:bidi="ar-SA"/>
              </w:rPr>
              <w:t>64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宋体" w:eastAsia="宋体" w:cs="Times New Roman"/>
                <w:b/>
                <w:bCs/>
                <w:kern w:val="2"/>
                <w:sz w:val="18"/>
                <w:szCs w:val="18"/>
                <w:lang w:val="en-US" w:eastAsia="zh-CN" w:bidi="ar-SA"/>
              </w:rPr>
              <w:t>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宋体" w:eastAsia="宋体" w:cs="Times New Roman"/>
                <w:b/>
                <w:bCs/>
                <w:kern w:val="2"/>
                <w:sz w:val="18"/>
                <w:szCs w:val="18"/>
                <w:lang w:val="en-US" w:eastAsia="zh-CN" w:bidi="ar-SA"/>
              </w:rPr>
              <w:t>80</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snapToGrid w:val="0"/>
                <w:color w:val="000000"/>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Times New Roman" w:eastAsia="宋体" w:cs="Times New Roman"/>
                <w:b/>
                <w:bCs/>
                <w:snapToGrid w:val="0"/>
                <w:color w:val="000000"/>
                <w:kern w:val="2"/>
                <w:sz w:val="18"/>
                <w:szCs w:val="18"/>
                <w:lang w:val="en-US" w:eastAsia="zh-CN" w:bidi="ar-SA"/>
              </w:rPr>
              <w:t>21</w:t>
            </w:r>
          </w:p>
        </w:tc>
        <w:tc>
          <w:tcPr>
            <w:tcW w:w="1086"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snapToGrid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D022326J21</w:t>
            </w:r>
          </w:p>
        </w:tc>
        <w:tc>
          <w:tcPr>
            <w:tcW w:w="1620"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就业与创业教育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i w:val="0"/>
                <w:iCs w:val="0"/>
                <w:snapToGrid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snapToGrid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ascii="Times New Roman" w:hAnsi="宋体"/>
                <w:sz w:val="18"/>
                <w:szCs w:val="18"/>
              </w:rPr>
              <w:t>实践</w:t>
            </w:r>
          </w:p>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hint="eastAsia" w:ascii="Times New Roman" w:hAnsi="宋体"/>
                <w:sz w:val="18"/>
                <w:szCs w:val="18"/>
              </w:rPr>
              <w:t>教</w:t>
            </w:r>
          </w:p>
          <w:p>
            <w:pPr>
              <w:keepNext w:val="0"/>
              <w:keepLines w:val="0"/>
              <w:pageBreakBefore w:val="0"/>
              <w:widowControl/>
              <w:wordWrap/>
              <w:overflowPunct/>
              <w:topLinePunct w:val="0"/>
              <w:bidi w:val="0"/>
              <w:spacing w:line="240" w:lineRule="exact"/>
              <w:ind w:firstLine="0" w:firstLineChars="0"/>
              <w:jc w:val="center"/>
              <w:rPr>
                <w:rFonts w:ascii="Times New Roman" w:hAnsi="宋体" w:eastAsia="宋体"/>
                <w:sz w:val="18"/>
                <w:szCs w:val="18"/>
              </w:rPr>
            </w:pPr>
            <w:r>
              <w:rPr>
                <w:rFonts w:hint="eastAsia" w:ascii="Times New Roman" w:hAnsi="宋体"/>
                <w:sz w:val="18"/>
                <w:szCs w:val="18"/>
              </w:rPr>
              <w:t>学</w:t>
            </w:r>
          </w:p>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hint="eastAsia" w:ascii="Times New Roman" w:hAnsi="宋体"/>
                <w:sz w:val="18"/>
                <w:szCs w:val="18"/>
              </w:rPr>
              <w:t>环</w:t>
            </w:r>
          </w:p>
          <w:p>
            <w:pPr>
              <w:keepNext w:val="0"/>
              <w:keepLines w:val="0"/>
              <w:pageBreakBefore w:val="0"/>
              <w:widowControl/>
              <w:wordWrap/>
              <w:overflowPunct/>
              <w:topLinePunct w:val="0"/>
              <w:bidi w:val="0"/>
              <w:spacing w:line="240" w:lineRule="exact"/>
              <w:ind w:firstLine="0" w:firstLineChars="0"/>
              <w:jc w:val="center"/>
              <w:rPr>
                <w:rFonts w:ascii="Times New Roman" w:hAnsi="宋体" w:eastAsia="宋体"/>
                <w:sz w:val="18"/>
                <w:szCs w:val="18"/>
              </w:rPr>
            </w:pPr>
            <w:r>
              <w:rPr>
                <w:rFonts w:hint="eastAsia" w:ascii="Times New Roman" w:hAnsi="宋体"/>
                <w:sz w:val="18"/>
                <w:szCs w:val="18"/>
              </w:rPr>
              <w:t>节</w:t>
            </w: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Arial" w:hAnsi="宋体" w:eastAsia="仿宋_GB2312" w:cs="Times New Roman"/>
                <w:b/>
                <w:bCs/>
                <w:snapToGrid w:val="0"/>
                <w:color w:val="000000"/>
                <w:kern w:val="2"/>
                <w:sz w:val="18"/>
                <w:szCs w:val="18"/>
                <w:lang w:val="en-US" w:eastAsia="zh-CN" w:bidi="ar-SA"/>
              </w:rPr>
            </w:pPr>
            <w:r>
              <w:rPr>
                <w:rFonts w:hint="default" w:ascii="Times New Roman" w:hAnsi="Times New Roman" w:cs="Times New Roman"/>
                <w:b/>
                <w:bCs/>
                <w:kern w:val="2"/>
                <w:sz w:val="18"/>
                <w:szCs w:val="18"/>
                <w:lang w:val="en-US" w:eastAsia="zh-CN" w:bidi="ar-SA"/>
              </w:rPr>
              <w:t>22</w:t>
            </w:r>
          </w:p>
        </w:tc>
        <w:tc>
          <w:tcPr>
            <w:tcW w:w="1086" w:type="dxa"/>
            <w:tcBorders>
              <w:tl2br w:val="nil"/>
              <w:tr2bl w:val="nil"/>
            </w:tcBorders>
            <w:shd w:val="clear" w:color="auto" w:fill="auto"/>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D022326J22</w:t>
            </w:r>
          </w:p>
        </w:tc>
        <w:tc>
          <w:tcPr>
            <w:tcW w:w="1620" w:type="dxa"/>
            <w:tcBorders>
              <w:tl2br w:val="nil"/>
              <w:tr2bl w:val="nil"/>
            </w:tcBorders>
            <w:shd w:val="clear" w:color="auto" w:fill="auto"/>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入学教育</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0</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86"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Arial" w:hAnsi="宋体" w:eastAsia="仿宋_GB2312" w:cs="Times New Roman"/>
                <w:b/>
                <w:bCs/>
                <w:snapToGrid w:val="0"/>
                <w:color w:val="000000"/>
                <w:kern w:val="2"/>
                <w:sz w:val="18"/>
                <w:szCs w:val="18"/>
                <w:lang w:val="en-US" w:eastAsia="zh-CN" w:bidi="ar-SA"/>
              </w:rPr>
            </w:pPr>
            <w:r>
              <w:rPr>
                <w:rFonts w:hint="default" w:ascii="Times New Roman" w:hAnsi="Times New Roman" w:cs="Times New Roman"/>
                <w:b/>
                <w:bCs/>
                <w:kern w:val="2"/>
                <w:sz w:val="18"/>
                <w:szCs w:val="18"/>
                <w:lang w:val="en-US" w:eastAsia="zh-CN" w:bidi="ar-SA"/>
              </w:rPr>
              <w:t>23</w:t>
            </w:r>
          </w:p>
        </w:tc>
        <w:tc>
          <w:tcPr>
            <w:tcW w:w="1086" w:type="dxa"/>
            <w:tcBorders>
              <w:tl2br w:val="nil"/>
              <w:tr2bl w:val="nil"/>
            </w:tcBorders>
            <w:shd w:val="clear" w:color="auto" w:fill="auto"/>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D022326J23</w:t>
            </w:r>
          </w:p>
        </w:tc>
        <w:tc>
          <w:tcPr>
            <w:tcW w:w="1620" w:type="dxa"/>
            <w:tcBorders>
              <w:tl2br w:val="nil"/>
              <w:tr2bl w:val="nil"/>
            </w:tcBorders>
            <w:shd w:val="clear" w:color="auto" w:fill="auto"/>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毕业教育</w:t>
            </w:r>
          </w:p>
        </w:tc>
        <w:tc>
          <w:tcPr>
            <w:tcW w:w="374" w:type="dxa"/>
            <w:tcBorders>
              <w:tl2br w:val="nil"/>
              <w:tr2bl w:val="nil"/>
            </w:tcBorders>
            <w:shd w:val="clear" w:color="auto" w:fill="auto"/>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default"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0</w:t>
            </w: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w:t>
            </w:r>
          </w:p>
        </w:tc>
        <w:tc>
          <w:tcPr>
            <w:tcW w:w="375"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86" w:type="dxa"/>
            <w:tcBorders>
              <w:tl2br w:val="nil"/>
              <w:tr2bl w:val="nil"/>
            </w:tcBorders>
            <w:shd w:val="clear" w:color="auto" w:fill="auto"/>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default" w:ascii="Times New Roman" w:hAnsi="Times New Roman" w:cs="Times New Roman"/>
                <w:b/>
                <w:bCs/>
                <w:kern w:val="2"/>
                <w:sz w:val="18"/>
                <w:szCs w:val="18"/>
                <w:lang w:val="en-US" w:eastAsia="zh-CN" w:bidi="ar-SA"/>
              </w:rPr>
              <w:t>24</w:t>
            </w:r>
          </w:p>
        </w:tc>
        <w:tc>
          <w:tcPr>
            <w:tcW w:w="1086"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D022326J18</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毕业实习（周）</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default"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snapToGrid w:val="0"/>
                <w:color w:val="000000"/>
                <w:kern w:val="2"/>
                <w:sz w:val="18"/>
                <w:szCs w:val="18"/>
                <w:lang w:val="en-US" w:eastAsia="zh-CN" w:bidi="ar-SA"/>
              </w:rPr>
            </w:pPr>
            <w:r>
              <w:rPr>
                <w:rFonts w:hint="eastAsia" w:ascii="Times New Roman" w:hAnsi="宋体" w:eastAsia="宋体" w:cs="Times New Roman"/>
                <w:b/>
                <w:bCs/>
                <w:snapToGrid w:val="0"/>
                <w:color w:val="000000"/>
                <w:kern w:val="2"/>
                <w:sz w:val="18"/>
                <w:szCs w:val="18"/>
                <w:lang w:val="en-US" w:eastAsia="zh-CN" w:bidi="ar-SA"/>
              </w:rPr>
              <w:t>25</w:t>
            </w:r>
          </w:p>
        </w:tc>
        <w:tc>
          <w:tcPr>
            <w:tcW w:w="1086"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D022326J19</w:t>
            </w:r>
          </w:p>
        </w:tc>
        <w:tc>
          <w:tcPr>
            <w:tcW w:w="1620"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毕业设计（周）</w:t>
            </w:r>
          </w:p>
        </w:tc>
        <w:tc>
          <w:tcPr>
            <w:tcW w:w="374" w:type="dxa"/>
            <w:tcBorders>
              <w:tl2br w:val="nil"/>
              <w:tr2bl w:val="nil"/>
            </w:tcBorders>
            <w:vAlign w:val="center"/>
          </w:tcPr>
          <w:p>
            <w:pPr>
              <w:keepNext w:val="0"/>
              <w:keepLines w:val="0"/>
              <w:pageBreakBefore w:val="0"/>
              <w:widowControl/>
              <w:suppressLineNumbers w:val="0"/>
              <w:wordWrap/>
              <w:overflowPunct/>
              <w:topLinePunct w:val="0"/>
              <w:bidi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48</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p>
        </w:tc>
        <w:tc>
          <w:tcPr>
            <w:tcW w:w="386"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eastAsia" w:ascii="Times New Roman" w:hAnsi="宋体" w:eastAsia="宋体" w:cs="Times New Roman"/>
                <w:b/>
                <w:bCs/>
                <w:kern w:val="2"/>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800" w:type="dxa"/>
            <w:gridSpan w:val="6"/>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hint="eastAsia" w:ascii="Times New Roman" w:hAnsi="宋体"/>
                <w:sz w:val="18"/>
                <w:szCs w:val="18"/>
              </w:rPr>
              <w:t xml:space="preserve">  </w:t>
            </w:r>
            <w:r>
              <w:rPr>
                <w:rFonts w:ascii="Times New Roman" w:hAnsi="宋体"/>
                <w:sz w:val="18"/>
                <w:szCs w:val="18"/>
              </w:rPr>
              <w:t>合  计</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103</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1648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1320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w:t>
            </w:r>
            <w:r>
              <w:rPr>
                <w:rFonts w:hint="eastAsia" w:ascii="Times New Roman" w:hAnsi="宋体" w:eastAsia="宋体" w:cs="Times New Roman"/>
                <w:b/>
                <w:bCs/>
                <w:kern w:val="2"/>
                <w:sz w:val="18"/>
                <w:szCs w:val="18"/>
                <w:lang w:val="en-US" w:eastAsia="zh-CN" w:bidi="ar-SA"/>
              </w:rPr>
              <w:t>30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224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388</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324</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394</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378</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200</w:t>
            </w:r>
          </w:p>
        </w:tc>
        <w:tc>
          <w:tcPr>
            <w:tcW w:w="1147" w:type="dxa"/>
            <w:gridSpan w:val="3"/>
            <w:vMerge w:val="restart"/>
            <w:tcBorders>
              <w:tl2br w:val="nil"/>
              <w:tr2bl w:val="nil"/>
            </w:tcBorders>
            <w:vAlign w:val="center"/>
          </w:tcPr>
          <w:p>
            <w:pPr>
              <w:keepNext w:val="0"/>
              <w:keepLines w:val="0"/>
              <w:pageBreakBefore w:val="0"/>
              <w:widowControl/>
              <w:wordWrap/>
              <w:overflowPunct/>
              <w:topLinePunct w:val="0"/>
              <w:bidi w:val="0"/>
              <w:snapToGrid w:val="0"/>
              <w:spacing w:line="240" w:lineRule="exact"/>
              <w:ind w:firstLine="0" w:firstLineChars="0"/>
              <w:jc w:val="center"/>
              <w:rPr>
                <w:rFonts w:ascii="Times New Roman" w:hAnsi="宋体"/>
                <w:b/>
                <w:bCs/>
                <w:sz w:val="18"/>
                <w:szCs w:val="18"/>
              </w:rPr>
            </w:pPr>
          </w:p>
          <w:p>
            <w:pPr>
              <w:keepNext w:val="0"/>
              <w:keepLines w:val="0"/>
              <w:pageBreakBefore w:val="0"/>
              <w:widowControl/>
              <w:wordWrap/>
              <w:overflowPunct/>
              <w:topLinePunct w:val="0"/>
              <w:bidi w:val="0"/>
              <w:snapToGrid w:val="0"/>
              <w:spacing w:line="240" w:lineRule="exact"/>
              <w:ind w:firstLine="0" w:firstLineChars="0"/>
              <w:jc w:val="center"/>
              <w:rPr>
                <w:rFonts w:ascii="Times New Roman" w:hAnsi="宋体"/>
                <w:b/>
                <w:bCs/>
                <w:sz w:val="18"/>
                <w:szCs w:val="18"/>
              </w:rPr>
            </w:pPr>
          </w:p>
          <w:p>
            <w:pPr>
              <w:keepNext w:val="0"/>
              <w:keepLines w:val="0"/>
              <w:pageBreakBefore w:val="0"/>
              <w:widowControl/>
              <w:wordWrap/>
              <w:overflowPunct/>
              <w:topLinePunct w:val="0"/>
              <w:bidi w:val="0"/>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86" w:hRule="exact"/>
          <w:jc w:val="center"/>
        </w:trPr>
        <w:tc>
          <w:tcPr>
            <w:tcW w:w="374" w:type="dxa"/>
            <w:gridSpan w:val="2"/>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p>
        </w:tc>
        <w:tc>
          <w:tcPr>
            <w:tcW w:w="4174" w:type="dxa"/>
            <w:gridSpan w:val="6"/>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sz w:val="18"/>
                <w:szCs w:val="18"/>
              </w:rPr>
            </w:pPr>
            <w:r>
              <w:rPr>
                <w:rFonts w:ascii="Times New Roman" w:hAnsi="宋体"/>
                <w:sz w:val="18"/>
                <w:szCs w:val="18"/>
              </w:rPr>
              <w:t>百分比（%）</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80.0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20.0</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13.6</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23.5</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19.7</w:t>
            </w:r>
          </w:p>
        </w:tc>
        <w:tc>
          <w:tcPr>
            <w:tcW w:w="374"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23.9</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22.9</w:t>
            </w:r>
          </w:p>
        </w:tc>
        <w:tc>
          <w:tcPr>
            <w:tcW w:w="375" w:type="dxa"/>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宋体" w:eastAsia="宋体" w:cs="Times New Roman"/>
                <w:b/>
                <w:bCs/>
                <w:kern w:val="2"/>
                <w:sz w:val="18"/>
                <w:szCs w:val="18"/>
                <w:lang w:val="en-US" w:eastAsia="zh-CN" w:bidi="ar-SA"/>
              </w:rPr>
              <w:t>12.1</w:t>
            </w:r>
          </w:p>
        </w:tc>
        <w:tc>
          <w:tcPr>
            <w:tcW w:w="1147" w:type="dxa"/>
            <w:gridSpan w:val="3"/>
            <w:vMerge w:val="continue"/>
            <w:tcBorders>
              <w:tl2br w:val="nil"/>
              <w:tr2bl w:val="nil"/>
            </w:tcBorders>
            <w:vAlign w:val="center"/>
          </w:tcPr>
          <w:p>
            <w:pPr>
              <w:keepNext w:val="0"/>
              <w:keepLines w:val="0"/>
              <w:pageBreakBefore w:val="0"/>
              <w:widowControl/>
              <w:wordWrap/>
              <w:overflowPunct/>
              <w:topLinePunct w:val="0"/>
              <w:bidi w:val="0"/>
              <w:spacing w:line="240" w:lineRule="exact"/>
              <w:ind w:firstLine="0" w:firstLineChars="0"/>
              <w:jc w:val="center"/>
              <w:rPr>
                <w:rFonts w:ascii="Times New Roman" w:hAnsi="宋体"/>
                <w:b/>
                <w:bCs/>
                <w:sz w:val="18"/>
                <w:szCs w:val="18"/>
              </w:rPr>
            </w:pPr>
          </w:p>
        </w:tc>
      </w:tr>
    </w:tbl>
    <w:p>
      <w:pPr>
        <w:widowControl/>
        <w:numPr>
          <w:ilvl w:val="255"/>
          <w:numId w:val="0"/>
        </w:numPr>
        <w:spacing w:line="560" w:lineRule="exact"/>
        <w:ind w:firstLine="321" w:firstLineChars="100"/>
        <w:jc w:val="left"/>
        <w:rPr>
          <w:rFonts w:ascii="Times New Roman" w:hAnsi="宋体"/>
          <w:b/>
          <w:bCs/>
          <w:szCs w:val="21"/>
        </w:rPr>
      </w:pPr>
    </w:p>
    <w:p>
      <w:pPr>
        <w:widowControl/>
        <w:numPr>
          <w:ilvl w:val="255"/>
          <w:numId w:val="0"/>
        </w:numPr>
        <w:spacing w:line="560" w:lineRule="exact"/>
        <w:ind w:firstLine="321" w:firstLineChars="100"/>
        <w:jc w:val="left"/>
        <w:rPr>
          <w:rFonts w:ascii="Times New Roman" w:hAnsi="宋体" w:eastAsia="宋体"/>
          <w:bCs/>
        </w:rPr>
      </w:pPr>
      <w:r>
        <w:rPr>
          <w:rFonts w:ascii="Times New Roman" w:hAnsi="宋体"/>
          <w:b/>
          <w:bCs/>
          <w:szCs w:val="21"/>
        </w:rPr>
        <w:t>备注：</w:t>
      </w:r>
      <w:r>
        <w:rPr>
          <w:rFonts w:hint="default" w:ascii="Times New Roman" w:hAnsi="Times New Roman" w:cs="Times New Roman"/>
          <w:bCs/>
        </w:rPr>
        <w:t>1</w:t>
      </w:r>
      <w:r>
        <w:rPr>
          <w:rFonts w:hint="eastAsia" w:ascii="Times New Roman" w:hAnsi="宋体"/>
          <w:bCs/>
        </w:rPr>
        <w:t>.课程类别</w:t>
      </w:r>
      <w:r>
        <w:rPr>
          <w:rFonts w:hint="eastAsia" w:ascii="Times New Roman" w:hAnsi="宋体" w:cs="Times New Roman"/>
          <w:bCs/>
        </w:rPr>
        <w:t>：高校也可根据实际情况自行确定课程分类。</w:t>
      </w:r>
    </w:p>
    <w:p>
      <w:pPr>
        <w:ind w:firstLine="1280" w:firstLineChars="400"/>
        <w:jc w:val="left"/>
        <w:rPr>
          <w:rFonts w:ascii="Times New Roman" w:hAnsi="宋体"/>
          <w:bCs/>
        </w:rPr>
      </w:pPr>
      <w:r>
        <w:rPr>
          <w:rFonts w:hint="default" w:ascii="Times New Roman" w:hAnsi="Times New Roman" w:cs="Times New Roman"/>
          <w:bCs/>
        </w:rPr>
        <w:t>2</w:t>
      </w:r>
      <w:r>
        <w:rPr>
          <w:rFonts w:hint="eastAsia" w:ascii="Times New Roman" w:hAnsi="宋体"/>
          <w:bCs/>
        </w:rPr>
        <w:t>.学分与学时换算，按照</w:t>
      </w:r>
      <w:r>
        <w:rPr>
          <w:rFonts w:hint="default" w:ascii="Times New Roman" w:hAnsi="Times New Roman" w:cs="Times New Roman"/>
          <w:bCs/>
        </w:rPr>
        <w:t>1</w:t>
      </w:r>
      <w:r>
        <w:rPr>
          <w:rFonts w:hint="eastAsia" w:ascii="Times New Roman" w:hAnsi="宋体"/>
          <w:bCs/>
        </w:rPr>
        <w:t>学分</w:t>
      </w:r>
      <w:r>
        <w:rPr>
          <w:rFonts w:hint="default" w:ascii="Times New Roman" w:hAnsi="Times New Roman" w:cs="Times New Roman"/>
          <w:bCs/>
        </w:rPr>
        <w:t>16</w:t>
      </w:r>
      <w:r>
        <w:rPr>
          <w:rFonts w:hint="eastAsia" w:ascii="Times New Roman" w:hAnsi="宋体"/>
          <w:bCs/>
        </w:rPr>
        <w:t>—</w:t>
      </w:r>
      <w:r>
        <w:rPr>
          <w:rFonts w:hint="default" w:ascii="Times New Roman" w:hAnsi="Times New Roman" w:cs="Times New Roman"/>
          <w:bCs/>
        </w:rPr>
        <w:t>18</w:t>
      </w:r>
      <w:r>
        <w:rPr>
          <w:rFonts w:hint="eastAsia" w:ascii="Times New Roman" w:hAnsi="宋体"/>
          <w:bCs/>
        </w:rPr>
        <w:t>学时进行换算。</w:t>
      </w:r>
    </w:p>
    <w:p>
      <w:pPr>
        <w:ind w:firstLine="1280" w:firstLineChars="400"/>
        <w:jc w:val="left"/>
        <w:rPr>
          <w:rFonts w:ascii="Times New Roman" w:hAnsi="宋体"/>
          <w:bCs/>
        </w:rPr>
      </w:pPr>
      <w:r>
        <w:rPr>
          <w:rFonts w:hint="default" w:ascii="Times New Roman" w:hAnsi="Times New Roman" w:cs="Times New Roman"/>
          <w:bCs/>
        </w:rPr>
        <w:t>3</w:t>
      </w:r>
      <w:r>
        <w:rPr>
          <w:rFonts w:hint="eastAsia" w:ascii="Times New Roman" w:hAnsi="宋体"/>
          <w:bCs/>
        </w:rPr>
        <w:t>.请在考核方式中选择“</w:t>
      </w:r>
      <w:r>
        <w:rPr>
          <w:rFonts w:ascii="Times New Roman" w:hAnsi="宋体"/>
          <w:bCs/>
        </w:rPr>
        <w:t>√</w:t>
      </w:r>
      <w:r>
        <w:rPr>
          <w:rFonts w:hint="eastAsia" w:ascii="Times New Roman" w:hAnsi="宋体"/>
          <w:bCs/>
        </w:rPr>
        <w:t>”填写。</w:t>
      </w:r>
    </w:p>
    <w:p>
      <w:pPr>
        <w:rPr>
          <w:rFonts w:hint="eastAsia" w:eastAsia="宋体"/>
          <w:lang w:val="en-US" w:eastAsia="zh-CN"/>
        </w:rPr>
      </w:pPr>
    </w:p>
    <w:sectPr>
      <w:footerReference r:id="rId5" w:type="default"/>
      <w:pgSz w:w="11907" w:h="16839"/>
      <w:pgMar w:top="2098" w:right="1474" w:bottom="1984" w:left="1587" w:header="0" w:footer="1531"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firstLine="424"/>
      <w:rPr>
        <w:rFonts w:ascii="Times New Roman" w:hAnsi="Times New Roman" w:eastAsia="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zODYwYjBkYTJiZTNlYTYwOTdiOTUxODJjYzJmZGYifQ=="/>
  </w:docVars>
  <w:rsids>
    <w:rsidRoot w:val="178B5A97"/>
    <w:rsid w:val="00015C08"/>
    <w:rsid w:val="00033660"/>
    <w:rsid w:val="000A0EB8"/>
    <w:rsid w:val="00104CA8"/>
    <w:rsid w:val="00163EC0"/>
    <w:rsid w:val="001F4C40"/>
    <w:rsid w:val="00315D31"/>
    <w:rsid w:val="00390E91"/>
    <w:rsid w:val="004A4462"/>
    <w:rsid w:val="004F66F6"/>
    <w:rsid w:val="007060EB"/>
    <w:rsid w:val="00773957"/>
    <w:rsid w:val="00A30EFB"/>
    <w:rsid w:val="00A43E9A"/>
    <w:rsid w:val="00A92869"/>
    <w:rsid w:val="00AE07AE"/>
    <w:rsid w:val="00B34DE4"/>
    <w:rsid w:val="00B91DAB"/>
    <w:rsid w:val="00BA195F"/>
    <w:rsid w:val="00BC1D3A"/>
    <w:rsid w:val="00EA0787"/>
    <w:rsid w:val="00EB7201"/>
    <w:rsid w:val="01752768"/>
    <w:rsid w:val="01EB5104"/>
    <w:rsid w:val="02090CE4"/>
    <w:rsid w:val="03E65F01"/>
    <w:rsid w:val="089803F8"/>
    <w:rsid w:val="10976401"/>
    <w:rsid w:val="10E65244"/>
    <w:rsid w:val="12532A54"/>
    <w:rsid w:val="14C9353A"/>
    <w:rsid w:val="167943E4"/>
    <w:rsid w:val="178B5A97"/>
    <w:rsid w:val="1D810857"/>
    <w:rsid w:val="21093C18"/>
    <w:rsid w:val="2148148A"/>
    <w:rsid w:val="22570368"/>
    <w:rsid w:val="26DB7EAB"/>
    <w:rsid w:val="27C9309C"/>
    <w:rsid w:val="293647C3"/>
    <w:rsid w:val="2AB35C17"/>
    <w:rsid w:val="2AFB7F6A"/>
    <w:rsid w:val="2D50425A"/>
    <w:rsid w:val="30B61447"/>
    <w:rsid w:val="31004C9E"/>
    <w:rsid w:val="31E77205"/>
    <w:rsid w:val="325F4676"/>
    <w:rsid w:val="37ED143A"/>
    <w:rsid w:val="39683372"/>
    <w:rsid w:val="3AB75B63"/>
    <w:rsid w:val="3B5D7617"/>
    <w:rsid w:val="3C483E57"/>
    <w:rsid w:val="542B6433"/>
    <w:rsid w:val="5E4C5D3A"/>
    <w:rsid w:val="66986CCF"/>
    <w:rsid w:val="6E097EA9"/>
    <w:rsid w:val="6FB1008F"/>
    <w:rsid w:val="733E0BCD"/>
    <w:rsid w:val="78D41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560" w:lineRule="exact"/>
      <w:ind w:firstLine="420" w:firstLineChars="200"/>
      <w:textAlignment w:val="baseline"/>
    </w:pPr>
    <w:rPr>
      <w:rFonts w:ascii="Arial" w:hAnsi="Arial" w:eastAsia="仿宋_GB2312" w:cs="Arial"/>
      <w:snapToGrid w:val="0"/>
      <w:color w:val="000000"/>
      <w:sz w:val="32"/>
      <w:szCs w:val="21"/>
      <w:lang w:val="en-US" w:eastAsia="zh-CN" w:bidi="ar-SA"/>
    </w:rPr>
  </w:style>
  <w:style w:type="paragraph" w:styleId="3">
    <w:name w:val="heading 1"/>
    <w:basedOn w:val="1"/>
    <w:next w:val="1"/>
    <w:link w:val="13"/>
    <w:autoRedefine/>
    <w:qFormat/>
    <w:uiPriority w:val="0"/>
    <w:pPr>
      <w:keepNext/>
      <w:keepLines/>
      <w:spacing w:beforeLines="0" w:beforeAutospacing="0" w:afterLines="0" w:afterAutospacing="0" w:line="640" w:lineRule="exact"/>
      <w:ind w:firstLine="0" w:firstLineChars="0"/>
      <w:outlineLvl w:val="0"/>
    </w:pPr>
    <w:rPr>
      <w:rFonts w:eastAsia="黑体"/>
      <w:kern w:val="44"/>
      <w:sz w:val="32"/>
    </w:rPr>
  </w:style>
  <w:style w:type="paragraph" w:styleId="4">
    <w:name w:val="heading 2"/>
    <w:basedOn w:val="1"/>
    <w:next w:val="1"/>
    <w:autoRedefine/>
    <w:unhideWhenUsed/>
    <w:qFormat/>
    <w:uiPriority w:val="0"/>
    <w:pPr>
      <w:keepNext/>
      <w:keepLines/>
      <w:spacing w:beforeLines="0" w:beforeAutospacing="0" w:afterLines="0" w:afterAutospacing="0" w:line="640" w:lineRule="exact"/>
      <w:ind w:firstLine="0" w:firstLineChars="0"/>
      <w:outlineLvl w:val="1"/>
    </w:pPr>
    <w:rPr>
      <w:rFonts w:eastAsia="楷体_GB2312"/>
      <w:b/>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5">
    <w:name w:val="footer"/>
    <w:basedOn w:val="1"/>
    <w:link w:val="11"/>
    <w:autoRedefine/>
    <w:qFormat/>
    <w:uiPriority w:val="0"/>
    <w:pPr>
      <w:tabs>
        <w:tab w:val="center" w:pos="4153"/>
        <w:tab w:val="right" w:pos="8306"/>
      </w:tabs>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autoRedefine/>
    <w:unhideWhenUsed/>
    <w:qFormat/>
    <w:uiPriority w:val="0"/>
    <w:tblPr>
      <w:tblCellMar>
        <w:top w:w="0" w:type="dxa"/>
        <w:left w:w="0" w:type="dxa"/>
        <w:bottom w:w="0" w:type="dxa"/>
        <w:right w:w="0" w:type="dxa"/>
      </w:tblCellMar>
    </w:tblPr>
  </w:style>
  <w:style w:type="character" w:customStyle="1" w:styleId="11">
    <w:name w:val="页脚 字符"/>
    <w:basedOn w:val="9"/>
    <w:link w:val="5"/>
    <w:autoRedefine/>
    <w:qFormat/>
    <w:uiPriority w:val="0"/>
    <w:rPr>
      <w:rFonts w:ascii="Arial" w:hAnsi="Arial" w:eastAsia="Arial" w:cs="Arial"/>
      <w:snapToGrid w:val="0"/>
      <w:color w:val="000000"/>
      <w:sz w:val="18"/>
      <w:szCs w:val="18"/>
    </w:rPr>
  </w:style>
  <w:style w:type="character" w:customStyle="1" w:styleId="12">
    <w:name w:val="font11"/>
    <w:basedOn w:val="9"/>
    <w:autoRedefine/>
    <w:qFormat/>
    <w:uiPriority w:val="0"/>
    <w:rPr>
      <w:rFonts w:hint="eastAsia" w:ascii="宋体" w:hAnsi="宋体" w:eastAsia="宋体" w:cs="宋体"/>
      <w:color w:val="000000"/>
      <w:sz w:val="21"/>
      <w:szCs w:val="21"/>
      <w:u w:val="none"/>
    </w:rPr>
  </w:style>
  <w:style w:type="character" w:customStyle="1" w:styleId="13">
    <w:name w:val="标题 1 Char"/>
    <w:link w:val="3"/>
    <w:autoRedefine/>
    <w:qFormat/>
    <w:uiPriority w:val="0"/>
    <w:rPr>
      <w:rFonts w:eastAsia="黑体"/>
      <w:kern w:val="44"/>
      <w:sz w:val="32"/>
    </w:rPr>
  </w:style>
  <w:style w:type="character" w:customStyle="1" w:styleId="14">
    <w:name w:val="font41"/>
    <w:basedOn w:val="9"/>
    <w:autoRedefine/>
    <w:qFormat/>
    <w:uiPriority w:val="0"/>
    <w:rPr>
      <w:rFonts w:hint="default" w:ascii="Arial" w:hAnsi="Arial" w:cs="Arial"/>
      <w:b/>
      <w:bCs/>
      <w:color w:val="000000"/>
      <w:sz w:val="15"/>
      <w:szCs w:val="15"/>
      <w:u w:val="none"/>
    </w:rPr>
  </w:style>
  <w:style w:type="character" w:customStyle="1" w:styleId="15">
    <w:name w:val="font71"/>
    <w:basedOn w:val="9"/>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8798</Words>
  <Characters>9194</Characters>
  <Lines>65</Lines>
  <Paragraphs>18</Paragraphs>
  <TotalTime>0</TotalTime>
  <ScaleCrop>false</ScaleCrop>
  <LinksUpToDate>false</LinksUpToDate>
  <CharactersWithSpaces>9404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2022-01-12T02:29:00Z</dcterms:created>
  <dc:creator>zp</dc:creator>
  <cp:lastModifiedBy>人生</cp:lastModifiedBy>
  <dcterms:modified xsi:type="dcterms:W3CDTF">2024-03-19T12:56:59Z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849008C968A8414B93274CE238EB77FA</vt:lpwstr>
  </property>
</Properties>
</file>