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德州科技职业学院高等学历继续教育</w:t>
      </w:r>
    </w:p>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大数据与会计专业人才培养方案</w:t>
      </w:r>
    </w:p>
    <w:p>
      <w:pPr>
        <w:pStyle w:val="3"/>
        <w:bidi w:val="0"/>
        <w:rPr>
          <w:rFonts w:ascii="宋体" w:hAnsi="宋体" w:cs="宋体"/>
          <w:b/>
          <w:szCs w:val="28"/>
        </w:rPr>
      </w:pPr>
      <w:r>
        <w:rPr>
          <w:rFonts w:hint="eastAsia"/>
        </w:rPr>
        <w:t>一、专业基本信息</w:t>
      </w:r>
    </w:p>
    <w:p>
      <w:pPr>
        <w:bidi w:val="0"/>
      </w:pPr>
      <w:r>
        <w:rPr>
          <w:rFonts w:hint="eastAsia"/>
        </w:rPr>
        <w:t xml:space="preserve">专业名称和专业代码：大数据与会计 </w:t>
      </w:r>
      <w:r>
        <w:t xml:space="preserve"> </w:t>
      </w:r>
      <w:r>
        <w:rPr>
          <w:rFonts w:hint="default" w:ascii="Times New Roman" w:hAnsi="Times New Roman" w:cs="Times New Roman"/>
        </w:rPr>
        <w:t>530302</w:t>
      </w:r>
    </w:p>
    <w:p>
      <w:pPr>
        <w:bidi w:val="0"/>
      </w:pPr>
      <w:r>
        <w:rPr>
          <w:rFonts w:hint="eastAsia"/>
        </w:rPr>
        <w:t>学科门类：财经商贸大类</w:t>
      </w:r>
    </w:p>
    <w:p>
      <w:pPr>
        <w:bidi w:val="0"/>
      </w:pPr>
      <w:r>
        <w:rPr>
          <w:rFonts w:hint="eastAsia"/>
        </w:rPr>
        <w:t>专业类别：财务会计类</w:t>
      </w:r>
    </w:p>
    <w:p>
      <w:pPr>
        <w:bidi w:val="0"/>
      </w:pPr>
      <w:r>
        <w:rPr>
          <w:rFonts w:hint="eastAsia"/>
        </w:rPr>
        <w:t>专业层次：高起专</w:t>
      </w:r>
    </w:p>
    <w:p>
      <w:pPr>
        <w:bidi w:val="0"/>
      </w:pPr>
      <w:r>
        <w:rPr>
          <w:rFonts w:hint="eastAsia"/>
        </w:rPr>
        <w:t>学制：</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rPr>
          <w:rFonts w:hint="eastAsia"/>
        </w:rPr>
        <w:t>学习形式：函授</w:t>
      </w:r>
    </w:p>
    <w:p>
      <w:pPr>
        <w:pStyle w:val="3"/>
        <w:bidi w:val="0"/>
      </w:pPr>
      <w:r>
        <w:rPr>
          <w:rFonts w:hint="eastAsia"/>
        </w:rPr>
        <w:t>二、招生对象和入学要求</w:t>
      </w:r>
    </w:p>
    <w:p>
      <w:pPr>
        <w:bidi w:val="0"/>
      </w:pPr>
      <w:bookmarkStart w:id="0" w:name="_Hlk12287714"/>
      <w:r>
        <w:rPr>
          <w:rFonts w:hint="eastAsia"/>
        </w:rPr>
        <w:t>遵守中华人民共和国宪法和法律，高中阶段教育毕业、中等职业学校毕业或具备同等学力。身体健康，生活能自理，不影响所报专业学习。</w:t>
      </w:r>
    </w:p>
    <w:bookmarkEnd w:id="0"/>
    <w:p>
      <w:pPr>
        <w:pStyle w:val="3"/>
        <w:bidi w:val="0"/>
      </w:pPr>
      <w:r>
        <w:rPr>
          <w:rFonts w:hint="eastAsia"/>
        </w:rPr>
        <w:t>三、培养目标</w:t>
      </w:r>
    </w:p>
    <w:p>
      <w:pPr>
        <w:bidi w:val="0"/>
      </w:pPr>
      <w:r>
        <w:rPr>
          <w:rFonts w:hint="eastAsia"/>
        </w:rPr>
        <w:t>本专业培养理想信念坚定，德、智、体、美、劳全面发展，具有一定的科学文化水平，良好的人文素养、职业道德和创新意识，能够懂得法律、敬畏法律、诚实守信、严谨务实；适应社会主义现代化建设需要，掌握会计电算的基础理论和专业知识、且具备相应实践技能以及较强的实际工作能力，能从事常见经济业务会计核算、财务分析和财务软件操作的高素质技术技能型人才。</w:t>
      </w:r>
    </w:p>
    <w:p>
      <w:pPr>
        <w:pStyle w:val="3"/>
        <w:bidi w:val="0"/>
      </w:pPr>
      <w:r>
        <w:rPr>
          <w:rFonts w:hint="eastAsia"/>
        </w:rPr>
        <w:t>四、培养要求</w:t>
      </w:r>
    </w:p>
    <w:p>
      <w:pPr>
        <w:pStyle w:val="4"/>
        <w:bidi w:val="0"/>
      </w:pPr>
      <w:bookmarkStart w:id="1" w:name="_Toc257887125"/>
      <w:r>
        <w:rPr>
          <w:rFonts w:hint="eastAsia"/>
        </w:rPr>
        <w:t>（一）</w:t>
      </w:r>
      <w:r>
        <w:t>知识要求</w:t>
      </w:r>
    </w:p>
    <w:p>
      <w:pPr>
        <w:bidi w:val="0"/>
      </w:pPr>
      <w:r>
        <w:rPr>
          <w:rFonts w:hint="default" w:ascii="Times New Roman" w:hAnsi="Times New Roman" w:cs="Times New Roman"/>
        </w:rPr>
        <w:t>1</w:t>
      </w:r>
      <w:r>
        <w:rPr>
          <w:rFonts w:hint="eastAsia"/>
        </w:rPr>
        <w:t>.具有</w:t>
      </w:r>
      <w:r>
        <w:t>一定的文化基础知识</w:t>
      </w:r>
      <w:r>
        <w:rPr>
          <w:rFonts w:hint="eastAsia"/>
        </w:rPr>
        <w:t>、</w:t>
      </w:r>
      <w:r>
        <w:t>人文社会科学知识</w:t>
      </w:r>
      <w:r>
        <w:rPr>
          <w:rFonts w:hint="eastAsia"/>
        </w:rPr>
        <w:t>、英语和计算机知识；</w:t>
      </w:r>
    </w:p>
    <w:p>
      <w:pPr>
        <w:bidi w:val="0"/>
      </w:pPr>
      <w:r>
        <w:rPr>
          <w:rFonts w:hint="default" w:ascii="Times New Roman" w:hAnsi="Times New Roman" w:cs="Times New Roman"/>
        </w:rPr>
        <w:t>2</w:t>
      </w:r>
      <w:r>
        <w:rPr>
          <w:rFonts w:hint="eastAsia"/>
        </w:rPr>
        <w:t>.比较系统的掌握会计专业的基本理论、基本知识和基本技能。</w:t>
      </w:r>
    </w:p>
    <w:p>
      <w:pPr>
        <w:bidi w:val="0"/>
      </w:pPr>
      <w:r>
        <w:rPr>
          <w:rFonts w:hint="default" w:ascii="Times New Roman" w:hAnsi="Times New Roman" w:cs="Times New Roman"/>
        </w:rPr>
        <w:t>3</w:t>
      </w:r>
      <w:r>
        <w:rPr>
          <w:rFonts w:hint="eastAsia"/>
        </w:rPr>
        <w:t>.掌握会计实训和电算化的基础知识，掌握会计</w:t>
      </w:r>
      <w:r>
        <w:t>的相关政策法规</w:t>
      </w:r>
      <w:r>
        <w:rPr>
          <w:rFonts w:hint="eastAsia"/>
        </w:rPr>
        <w:t>和准则、</w:t>
      </w:r>
      <w:r>
        <w:t>了解</w:t>
      </w:r>
      <w:r>
        <w:rPr>
          <w:rFonts w:hint="eastAsia"/>
        </w:rPr>
        <w:t>企业财务</w:t>
      </w:r>
      <w:r>
        <w:t>运营的基本原理和方法</w:t>
      </w:r>
      <w:r>
        <w:rPr>
          <w:rFonts w:hint="eastAsia"/>
        </w:rPr>
        <w:t>所需要的现代科学技术和基础理论知识</w:t>
      </w:r>
      <w:r>
        <w:t>。</w:t>
      </w:r>
    </w:p>
    <w:p>
      <w:pPr>
        <w:bidi w:val="0"/>
        <w:rPr>
          <w:rFonts w:hAnsi="宋体"/>
          <w:color w:val="000000"/>
        </w:rPr>
      </w:pPr>
      <w:r>
        <w:rPr>
          <w:rFonts w:hint="default" w:ascii="Times New Roman" w:hAnsi="Times New Roman" w:cs="Times New Roman"/>
        </w:rPr>
        <w:t>4</w:t>
      </w:r>
      <w:r>
        <w:rPr>
          <w:rFonts w:hint="eastAsia"/>
        </w:rPr>
        <w:t>.了解本专业的理论前沿及发展动态，了解与本专业发展有关各项方针、政策。</w:t>
      </w:r>
    </w:p>
    <w:p>
      <w:pPr>
        <w:pStyle w:val="4"/>
        <w:bidi w:val="0"/>
      </w:pPr>
      <w:r>
        <w:rPr>
          <w:rFonts w:hint="eastAsia"/>
        </w:rPr>
        <w:t>（二）</w:t>
      </w:r>
      <w:r>
        <w:t>能力要求</w:t>
      </w:r>
    </w:p>
    <w:p>
      <w:pPr>
        <w:bidi w:val="0"/>
      </w:pPr>
      <w:r>
        <w:rPr>
          <w:rFonts w:hint="default" w:ascii="Times New Roman" w:hAnsi="Times New Roman" w:cs="Times New Roman"/>
        </w:rPr>
        <w:t>1</w:t>
      </w:r>
      <w:r>
        <w:rPr>
          <w:rFonts w:hint="eastAsia"/>
        </w:rPr>
        <w:t>、通用能力：</w:t>
      </w:r>
    </w:p>
    <w:p>
      <w:pPr>
        <w:bidi w:val="0"/>
      </w:pPr>
      <w:r>
        <w:rPr>
          <w:rFonts w:hint="eastAsia"/>
        </w:rPr>
        <w:t>具备基本的计算机操作与办公软件应用能力；具备较好的语言表达与文字写作能力；具备较好的团队合作能力；具备较好的自主学习能力。</w:t>
      </w:r>
    </w:p>
    <w:p>
      <w:pPr>
        <w:bidi w:val="0"/>
      </w:pPr>
      <w:r>
        <w:rPr>
          <w:rFonts w:hint="default" w:ascii="Times New Roman" w:hAnsi="Times New Roman" w:cs="Times New Roman"/>
          <w:lang w:val="en-US" w:eastAsia="zh-CN"/>
        </w:rPr>
        <w:t>2</w:t>
      </w:r>
      <w:r>
        <w:rPr>
          <w:rFonts w:hint="eastAsia"/>
          <w:lang w:val="en-US" w:eastAsia="zh-CN"/>
        </w:rPr>
        <w:t>、</w:t>
      </w:r>
      <w:r>
        <w:rPr>
          <w:rFonts w:hint="eastAsia"/>
        </w:rPr>
        <w:t>专门能力：</w:t>
      </w:r>
    </w:p>
    <w:p>
      <w:pPr>
        <w:bidi w:val="0"/>
      </w:pPr>
      <w:r>
        <w:rPr>
          <w:rFonts w:hint="eastAsia"/>
        </w:rPr>
        <w:t>（</w:t>
      </w:r>
      <w:r>
        <w:rPr>
          <w:rFonts w:hint="default" w:ascii="Times New Roman" w:hAnsi="Times New Roman" w:cs="Times New Roman"/>
        </w:rPr>
        <w:t>1</w:t>
      </w:r>
      <w:r>
        <w:rPr>
          <w:rFonts w:hint="eastAsia"/>
        </w:rPr>
        <w:t>）熟悉财务会计制度和各项财务税收法规；</w:t>
      </w:r>
    </w:p>
    <w:p>
      <w:pPr>
        <w:bidi w:val="0"/>
      </w:pPr>
      <w:r>
        <w:rPr>
          <w:rFonts w:hint="eastAsia"/>
        </w:rPr>
        <w:t>（</w:t>
      </w:r>
      <w:r>
        <w:rPr>
          <w:rFonts w:hint="default" w:ascii="Times New Roman" w:hAnsi="Times New Roman" w:cs="Times New Roman"/>
        </w:rPr>
        <w:t>2</w:t>
      </w:r>
      <w:r>
        <w:rPr>
          <w:rFonts w:hint="eastAsia"/>
        </w:rPr>
        <w:t>）具有熟练地记账、算账、报账、管账的基本功；</w:t>
      </w:r>
      <w:r>
        <w:t xml:space="preserve"> </w:t>
      </w:r>
    </w:p>
    <w:p>
      <w:pPr>
        <w:bidi w:val="0"/>
      </w:pPr>
      <w:r>
        <w:rPr>
          <w:rFonts w:hint="eastAsia"/>
        </w:rPr>
        <w:t>（</w:t>
      </w:r>
      <w:r>
        <w:rPr>
          <w:rFonts w:hint="default" w:ascii="Times New Roman" w:hAnsi="Times New Roman" w:cs="Times New Roman"/>
        </w:rPr>
        <w:t>3</w:t>
      </w:r>
      <w:r>
        <w:rPr>
          <w:rFonts w:hint="eastAsia"/>
        </w:rPr>
        <w:t>）利用计算机处理工作领域内信息的能力和利用财务软件进行账务处理的能力；</w:t>
      </w:r>
    </w:p>
    <w:p>
      <w:pPr>
        <w:bidi w:val="0"/>
      </w:pPr>
      <w:r>
        <w:rPr>
          <w:rFonts w:hint="eastAsia"/>
        </w:rPr>
        <w:t>（</w:t>
      </w:r>
      <w:r>
        <w:rPr>
          <w:rFonts w:hint="default" w:ascii="Times New Roman" w:hAnsi="Times New Roman" w:cs="Times New Roman"/>
        </w:rPr>
        <w:t>4</w:t>
      </w:r>
      <w:r>
        <w:rPr>
          <w:rFonts w:hint="eastAsia"/>
        </w:rPr>
        <w:t>）具备基本的财务管理、查账、审计能力，具有一定的财务分析和综合能力；</w:t>
      </w:r>
    </w:p>
    <w:p>
      <w:pPr>
        <w:bidi w:val="0"/>
      </w:pPr>
      <w:r>
        <w:rPr>
          <w:rFonts w:hint="default" w:ascii="Times New Roman" w:hAnsi="Times New Roman" w:cs="Times New Roman"/>
        </w:rPr>
        <w:t>3</w:t>
      </w:r>
      <w:r>
        <w:rPr>
          <w:rFonts w:hint="eastAsia"/>
        </w:rPr>
        <w:t>、拓展能力：</w:t>
      </w:r>
    </w:p>
    <w:p>
      <w:pPr>
        <w:bidi w:val="0"/>
      </w:pPr>
      <w:r>
        <w:rPr>
          <w:rFonts w:hint="eastAsia"/>
        </w:rPr>
        <w:t>（</w:t>
      </w:r>
      <w:r>
        <w:rPr>
          <w:rFonts w:hint="default" w:ascii="Times New Roman" w:hAnsi="Times New Roman" w:cs="Times New Roman"/>
        </w:rPr>
        <w:t>1</w:t>
      </w:r>
      <w:r>
        <w:rPr>
          <w:rFonts w:hint="eastAsia"/>
        </w:rPr>
        <w:t>）掌握一定的经济管理知识，具备资金管理、资产管理的能力，具有一定的分析问题和解决问题的能力；</w:t>
      </w:r>
    </w:p>
    <w:p>
      <w:pPr>
        <w:bidi w:val="0"/>
      </w:pPr>
      <w:r>
        <w:rPr>
          <w:rFonts w:hint="eastAsia"/>
        </w:rPr>
        <w:t>（</w:t>
      </w:r>
      <w:r>
        <w:rPr>
          <w:rFonts w:hint="default" w:ascii="Times New Roman" w:hAnsi="Times New Roman" w:cs="Times New Roman"/>
        </w:rPr>
        <w:t>2</w:t>
      </w:r>
      <w:r>
        <w:rPr>
          <w:rFonts w:hint="eastAsia"/>
        </w:rPr>
        <w:t>）有会计岗位相关领域的活动能力。</w:t>
      </w:r>
      <w:bookmarkEnd w:id="1"/>
    </w:p>
    <w:p>
      <w:pPr>
        <w:pStyle w:val="4"/>
        <w:bidi w:val="0"/>
      </w:pPr>
      <w:r>
        <w:rPr>
          <w:rFonts w:hint="eastAsia"/>
        </w:rPr>
        <w:t>（三）</w:t>
      </w:r>
      <w:r>
        <w:t>素质要求</w:t>
      </w:r>
    </w:p>
    <w:p>
      <w:pPr>
        <w:bidi w:val="0"/>
      </w:pPr>
      <w:r>
        <w:rPr>
          <w:rFonts w:hint="default" w:ascii="Times New Roman" w:hAnsi="Times New Roman" w:cs="Times New Roman"/>
        </w:rPr>
        <w:t>1</w:t>
      </w:r>
      <w:r>
        <w:rPr>
          <w:rFonts w:hint="eastAsia"/>
        </w:rPr>
        <w:t>.思想政治素质：通过学习马克思主义、毛泽东思想和习近平提出的新时代中国特色社会主义思想，树立正确的世界观、人生观和价值观；具有较好的道德修养和身心素质，</w:t>
      </w:r>
      <w:r>
        <w:t>树立遵纪守法、</w:t>
      </w:r>
      <w:r>
        <w:rPr>
          <w:rFonts w:hint="eastAsia"/>
        </w:rPr>
        <w:t>遵</w:t>
      </w:r>
      <w:r>
        <w:t>章守纪的法制观念</w:t>
      </w:r>
      <w:r>
        <w:rPr>
          <w:rFonts w:hint="eastAsia"/>
        </w:rPr>
        <w:t>。</w:t>
      </w:r>
    </w:p>
    <w:p>
      <w:pPr>
        <w:bidi w:val="0"/>
      </w:pPr>
      <w:r>
        <w:rPr>
          <w:rFonts w:hint="default" w:ascii="Times New Roman" w:hAnsi="Times New Roman" w:cs="Times New Roman"/>
        </w:rPr>
        <w:t>2</w:t>
      </w:r>
      <w:r>
        <w:rPr>
          <w:rFonts w:hint="eastAsia"/>
        </w:rPr>
        <w:t>.职业素质：</w:t>
      </w:r>
      <w:r>
        <w:t>具有良好的职业道德和敬业精神，</w:t>
      </w:r>
      <w:r>
        <w:rPr>
          <w:rFonts w:hint="eastAsia"/>
        </w:rPr>
        <w:t>做到</w:t>
      </w:r>
      <w:r>
        <w:t>吃苦耐劳、踏实肯</w:t>
      </w:r>
      <w:r>
        <w:rPr>
          <w:rFonts w:hint="eastAsia"/>
        </w:rPr>
        <w:t>干；</w:t>
      </w:r>
      <w:r>
        <w:t>树立诚</w:t>
      </w:r>
      <w:r>
        <w:rPr>
          <w:rFonts w:hint="eastAsia"/>
        </w:rPr>
        <w:t>实守</w:t>
      </w:r>
      <w:r>
        <w:t>信意识和责任意识，有良好的社会责任感和使命感</w:t>
      </w:r>
      <w:r>
        <w:rPr>
          <w:rFonts w:hint="eastAsia"/>
        </w:rPr>
        <w:t>；</w:t>
      </w:r>
      <w:r>
        <w:t>能够</w:t>
      </w:r>
      <w:r>
        <w:rPr>
          <w:rFonts w:hint="eastAsia"/>
        </w:rPr>
        <w:t>严格遵守职业</w:t>
      </w:r>
      <w:r>
        <w:t>规范</w:t>
      </w:r>
      <w:r>
        <w:rPr>
          <w:rFonts w:hint="eastAsia"/>
        </w:rPr>
        <w:t>及操作规程。</w:t>
      </w:r>
    </w:p>
    <w:p>
      <w:pPr>
        <w:bidi w:val="0"/>
      </w:pPr>
      <w:r>
        <w:rPr>
          <w:rFonts w:hint="default" w:ascii="Times New Roman" w:hAnsi="Times New Roman" w:cs="Times New Roman"/>
        </w:rPr>
        <w:t>3</w:t>
      </w:r>
      <w:r>
        <w:rPr>
          <w:rFonts w:hint="eastAsia"/>
        </w:rPr>
        <w:t>.人文素养与科学素质：具有较为宽阔的视野，文理交融；具有一定的科学思维和科学探索精神；具备健康、高雅的审美情趣和正确的审美观点、较强的审美能力；</w:t>
      </w:r>
    </w:p>
    <w:p>
      <w:pPr>
        <w:bidi w:val="0"/>
      </w:pPr>
      <w:r>
        <w:rPr>
          <w:rFonts w:hint="default" w:ascii="Times New Roman" w:hAnsi="Times New Roman" w:cs="Times New Roman"/>
        </w:rPr>
        <w:t>4</w:t>
      </w:r>
      <w:r>
        <w:rPr>
          <w:rFonts w:hint="eastAsia"/>
        </w:rPr>
        <w:t>.身心素质：具有一定的体育运动和生理卫生知识，养成良好的锻炼身体、讲究卫生的习惯，掌握一定的运动技能，达到国家规定的体育健康标准；具有坚韧不拔的毅力、积极乐观的态度、良好的人际关系、健全的人格品质。</w:t>
      </w:r>
    </w:p>
    <w:p>
      <w:pPr>
        <w:pStyle w:val="4"/>
        <w:bidi w:val="0"/>
      </w:pPr>
      <w:r>
        <w:rPr>
          <w:rFonts w:hint="eastAsia"/>
        </w:rPr>
        <w:t>（四）毕业要求</w:t>
      </w:r>
    </w:p>
    <w:p>
      <w:pPr>
        <w:bidi w:val="0"/>
      </w:pP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w:t>
      </w:r>
      <w:r>
        <w:rPr>
          <w:rFonts w:hint="default" w:ascii="Times New Roman" w:hAnsi="Times New Roman" w:cs="Times New Roman"/>
        </w:rPr>
        <w:t>4</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3"/>
        <w:bidi w:val="0"/>
      </w:pPr>
      <w:r>
        <w:rPr>
          <w:rFonts w:hint="eastAsia"/>
        </w:rPr>
        <w:t>五、课程体系</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8"/>
        <w:tblpPr w:leftFromText="180" w:rightFromText="180" w:vertAnchor="text" w:horzAnchor="page" w:tblpX="1297"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653"/>
        <w:gridCol w:w="1189"/>
        <w:gridCol w:w="1985"/>
        <w:gridCol w:w="25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653" w:type="dxa"/>
            <w:tcBorders>
              <w:left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textAlignment w:val="auto"/>
              <w:rPr>
                <w:rFonts w:hint="default" w:ascii="仿宋_GB2312" w:hAnsi="仿宋_GB2312" w:eastAsia="仿宋_GB2312" w:cs="仿宋_GB2312"/>
                <w:b/>
                <w:bCs/>
                <w:sz w:val="24"/>
                <w:szCs w:val="24"/>
                <w:lang w:val="en-US" w:eastAsia="zh-CN"/>
              </w:rPr>
            </w:pPr>
            <w:r>
              <w:rPr>
                <w:rFonts w:hint="eastAsia" w:ascii="仿宋_GB2312" w:hAnsi="仿宋_GB2312" w:cs="仿宋_GB2312"/>
                <w:b/>
                <w:bCs/>
                <w:sz w:val="24"/>
                <w:szCs w:val="24"/>
                <w:lang w:val="en-US" w:eastAsia="zh-CN"/>
              </w:rPr>
              <w:t>课程模块</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课程目标</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主要内容</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社会主义伟大民族复兴努力奋斗</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653" w:type="dxa"/>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概率论与数理统计</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该课程的学习，应使学生掌握概率论与数理统计的基本概念，了解它的基本理论和方法，从而使学生初步掌握处理随机现象的基本思想和方法，培养学生运用概率统计方法分析和解决实际问题的能力，培养学生创造性思维能力。</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概率论的基本概念</w:t>
            </w:r>
          </w:p>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随机变量及其分布</w:t>
            </w:r>
          </w:p>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多维随机变量及其分布</w:t>
            </w:r>
          </w:p>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随机变量数字特征</w:t>
            </w:r>
          </w:p>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样本及抽样分布</w:t>
            </w:r>
          </w:p>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参数估计</w:t>
            </w:r>
          </w:p>
          <w:p>
            <w:pPr>
              <w:keepNext w:val="0"/>
              <w:keepLines w:val="0"/>
              <w:pageBreakBefore w:val="0"/>
              <w:numPr>
                <w:ilvl w:val="0"/>
                <w:numId w:val="1"/>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假设检验</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学习过程中，要注意做适量的练习，掌握解题思路和基本方法步骤，理解其实质，巩固和加深对概念的理解和掌握;要善于抓住典型问题，触类旁通，开拓思路，更重要的是具体问题具体分析，从中找出规律性的东西。</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5</w:t>
            </w:r>
          </w:p>
        </w:tc>
        <w:tc>
          <w:tcPr>
            <w:tcW w:w="653" w:type="dxa"/>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6</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计算机文化基础</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软件；掌握计算机信息技术安全知识和病毒的防治知识；计算机网络的基础知识及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7</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使学生能够掌握一定的英语基础知识和基本技能，具有一定的英语语言综合应用能力，即一定的听、说、读、写、译的能力，培养学生的自主学习、实际应用英语语言和跨文化交际等方面的职业能力和职业素养，学生未来继续学习和终身发展奠定良好的英语基础。 </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）用于日常交际及一般涉外业务的基本词汇；</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）语法基础知识；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）语用知识；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）中外优秀文化知识通过本门课程的学习</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师要依据教学目标、围绕教学内容，设计符合学生情况的教学活动，在教学设计和教学实施过程中，应当鼓励学生充分利用手机、互联网等手段获取课外资源，培养学生的学习兴趣，提高学生的学习能力，拓展知识面，提升文化素养。</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8</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高等数学</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本课程通过设计各种情境真实的“案例实践”问题，开阔学生的创新思维与想象空间；其中导数、微分、积分等基础知识能作为地基，使学生更好的学习专业知识，并且学会利用数学知识解决实际问题。</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）函数；</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）极限与连续；</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）导数与微分；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）一元函数微分学的应用；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）不定积分；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）定积分；</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在授课中应紧密结合实际问题，分析一些代表性的专业相关问题，并建立数学模型。</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9</w:t>
            </w:r>
          </w:p>
        </w:tc>
        <w:tc>
          <w:tcPr>
            <w:tcW w:w="653" w:type="dxa"/>
            <w:tcBorders>
              <w:left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10</w:t>
            </w:r>
          </w:p>
        </w:tc>
        <w:tc>
          <w:tcPr>
            <w:tcW w:w="653" w:type="dxa"/>
            <w:tcBorders>
              <w:left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cs="仿宋_GB2312"/>
                <w:color w:val="000000"/>
                <w:sz w:val="24"/>
                <w:szCs w:val="24"/>
                <w:lang w:eastAsia="zh-CN"/>
              </w:rPr>
              <w:t>公共基础课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应用文写作</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主要内容包括：应用文基础知识、公务交往文书、事务交往文书、传播交往文书、经济交往文书、科技交往文书、求职交往文书、礼仪交往文书。</w:t>
            </w: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什么是应用文，应用文有什么特点、有哪些种类；熟悉各类常用应用文书的文体格式、写作方法和写作规律，明白“为何写”、“些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11</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基础会计</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会计工作的环境和职业道德，认识会计工作的一般流程，理解会计要素、会计等式和复式记账法的基本原理，掌握和审核凭证、登记账簿和编制会计报表，具备会计核算和监督能力，培养爱岗敬业、诚实守信、廉洁自律、客观公正的会计职业态度和职业行为，提高学生财务分析、企业管理和协作管理和协作沟通素养，为将来从财务或审计工作打下坚实的基础。</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课程内容主要包括 </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 xml:space="preserve"> 个项目，分别为认知企业与会计职业、填制和审核会计凭证、设置和登记会计账簿、编制和报送会计报表、形成会计档案和基础会计综合实训。</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充分利用教学平台和优质教学资源，采用线上线下混合式教学模式，课前、课中、课后三个环节一以贯之，以学生为中心，“做中学，做中教”， 引导学生在完成任务和体验中学习，对教、学活动实施全程记录和追溯。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2" w:hRule="atLeast"/>
        </w:trPr>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12</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初级会计</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掌握会计的基本理论、基本知识和基本技能；熟练掌握财务会计各项经济业务的会计处理和会计报表的编制方法。</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内容包括应收款项、存货、长期投资、固定资产、流动负债、长期负债、收入及利润、会计报表的核算与技巧。 </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 对重点内容采用“会计实账教学法”、“案例教学法”、“总结归纳法”等方法进行精讲； 　</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 对于难点采用“分散渗透法”、 “个案训练法”等方法进行细讲；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13</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管理学基础</w:t>
            </w:r>
          </w:p>
        </w:tc>
        <w:tc>
          <w:tcPr>
            <w:tcW w:w="19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管理的客观规律和具有共性的基本理论。掌握管理的计划、组织、领导、激励、控制、创新等职能，学生通过学习这门既要调动学生的专业学习兴趣，使其感到管理的实用性，又可以奠定专业基础，为后续专业课的学习奠定坚实的基础。</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2"/>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管理认知</w:t>
            </w:r>
          </w:p>
          <w:p>
            <w:pPr>
              <w:keepNext w:val="0"/>
              <w:keepLines w:val="0"/>
              <w:pageBreakBefore w:val="0"/>
              <w:numPr>
                <w:ilvl w:val="0"/>
                <w:numId w:val="2"/>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预测与决策</w:t>
            </w:r>
          </w:p>
          <w:p>
            <w:pPr>
              <w:keepNext w:val="0"/>
              <w:keepLines w:val="0"/>
              <w:pageBreakBefore w:val="0"/>
              <w:numPr>
                <w:ilvl w:val="0"/>
                <w:numId w:val="2"/>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计划与组织</w:t>
            </w:r>
          </w:p>
          <w:p>
            <w:pPr>
              <w:keepNext w:val="0"/>
              <w:keepLines w:val="0"/>
              <w:pageBreakBefore w:val="0"/>
              <w:numPr>
                <w:ilvl w:val="0"/>
                <w:numId w:val="2"/>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领导与激励</w:t>
            </w:r>
          </w:p>
          <w:p>
            <w:pPr>
              <w:keepNext w:val="0"/>
              <w:keepLines w:val="0"/>
              <w:pageBreakBefore w:val="0"/>
              <w:numPr>
                <w:ilvl w:val="0"/>
                <w:numId w:val="2"/>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沟通与控制</w:t>
            </w:r>
          </w:p>
          <w:p>
            <w:pPr>
              <w:keepNext w:val="0"/>
              <w:keepLines w:val="0"/>
              <w:pageBreakBefore w:val="0"/>
              <w:numPr>
                <w:ilvl w:val="0"/>
                <w:numId w:val="2"/>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管理创新</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c>
          <w:tcPr>
            <w:tcW w:w="2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本课程主要围绕管理者、管理学的产生与发展、管理道德、管理职能等核心问题进行讲授，使学生系统地学习管理学的基本理论、方法与技术，培养学生作为未来职业管理人员所具备的基本素质和技能</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14</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微观经济学</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结合现实生活中的大量案例、实例、图表、微课、视频、动画等资源来讲授经济学基本原理，使学生牢固树立市场经济的意识、了解市场经济的思维方式及市场运行中的经济规律（尤其是微观经济）的基本原理，指导学生懂得所学知识何时用、如何用、用在哪。培养学生深入思考经济现象本质、综合运用知识解决问题的能力和合作能力，为专业课学习打下良好基础。</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突出以经济学思维（认识经济现象、把握经济规律、揭示经济本质、指导经济生活）培养为核心，以提升职业发展能力（决策分析能力、实践操作能力、沟通交流能力、统计预测能力）为主线，将生活、生产实际案例与理论完美融合，用六个项目勾勒现代经济学全貌：分别是走进经济学、生活经济学、消费经济学、管理经济学、营销经济学、民生经济学。</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强调经济学的实用性和与生活的贴近性，综合概括，突出重点，结合学生实际情况，尽量少用复杂的数学推导，理论教学设计把握必需、够用为原则，避免过分注重理论分析和数学模型的分析。</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15</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经济法</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通过学习本课程，使学生了解一定的法学基础理论，掌握与本专业工作有关的经济法律知识，以适应我国经济建设的需要。掌握经济法的适用范围、调整对象、经济法的法律法规组成与主要内容。</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课程内容由 </w:t>
            </w:r>
            <w:r>
              <w:rPr>
                <w:rFonts w:hint="default" w:ascii="Times New Roman" w:hAnsi="Times New Roman" w:eastAsia="仿宋_GB2312" w:cs="Times New Roman"/>
                <w:sz w:val="24"/>
                <w:szCs w:val="24"/>
              </w:rPr>
              <w:t>8</w:t>
            </w:r>
            <w:r>
              <w:rPr>
                <w:rFonts w:hint="eastAsia" w:ascii="仿宋_GB2312" w:hAnsi="仿宋_GB2312" w:eastAsia="仿宋_GB2312" w:cs="仿宋_GB2312"/>
                <w:sz w:val="24"/>
                <w:szCs w:val="24"/>
              </w:rPr>
              <w:t>个项目、</w:t>
            </w:r>
            <w:r>
              <w:rPr>
                <w:rFonts w:hint="default" w:ascii="Times New Roman" w:hAnsi="Times New Roman" w:eastAsia="仿宋_GB2312" w:cs="Times New Roman"/>
                <w:sz w:val="24"/>
                <w:szCs w:val="24"/>
              </w:rPr>
              <w:t>32</w:t>
            </w:r>
            <w:r>
              <w:rPr>
                <w:rFonts w:hint="eastAsia" w:ascii="仿宋_GB2312" w:hAnsi="仿宋_GB2312" w:eastAsia="仿宋_GB2312" w:cs="仿宋_GB2312"/>
                <w:sz w:val="24"/>
                <w:szCs w:val="24"/>
              </w:rPr>
              <w:t xml:space="preserve"> 个任务组成，主要包括经济法的概念以及经济法律体系、公司法、企业法、合同法、消费者权益保护法、票据法以及有关程序法的一些常识性知识等。</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教学中采取形式多样的教学活动，充分利用多媒体和网络学习资源促进学生自主学习，可以采用以下方法：情景模拟法、角色扮演法、仿真操作法、分组教学法等，从而达到最佳教与学的效果。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16</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pStyle w:val="12"/>
              <w:keepNext w:val="0"/>
              <w:keepLines w:val="0"/>
              <w:pageBreakBefore w:val="0"/>
              <w:tabs>
                <w:tab w:val="left" w:pos="1794"/>
              </w:tabs>
              <w:kinsoku/>
              <w:wordWrap/>
              <w:overflowPunct/>
              <w:topLinePunct w:val="0"/>
              <w:autoSpaceDE w:val="0"/>
              <w:autoSpaceDN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中级财务会计</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学习，使学生初步掌握财务会计工作应具备的基本知识,具备会计核算的基本技能和操作能力，能够胜任出纳、采购与应付核算、成本核算、费用核算、销售与应收核算、薪酬核算、税务、财产物资管理、资金核算、总账会计等岗位工作要求。</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本课程的课程内容的选择遵循社会需求、岗位需求和学生能力发展需求，实现与真实岗位衔接、与未来工作任务接轨，切实提高学生的就业竞争力，并为学生的可持续发展奠定良好的基础。课程内容主要由 </w:t>
            </w:r>
            <w:r>
              <w:rPr>
                <w:rFonts w:hint="default" w:ascii="Times New Roman" w:hAnsi="Times New Roman" w:eastAsia="仿宋_GB2312" w:cs="Times New Roman"/>
                <w:sz w:val="24"/>
                <w:szCs w:val="24"/>
              </w:rPr>
              <w:t>10</w:t>
            </w:r>
            <w:r>
              <w:rPr>
                <w:rFonts w:hint="eastAsia" w:ascii="仿宋_GB2312" w:hAnsi="仿宋_GB2312" w:eastAsia="仿宋_GB2312" w:cs="仿宋_GB2312"/>
                <w:sz w:val="24"/>
                <w:szCs w:val="24"/>
              </w:rPr>
              <w:t xml:space="preserve"> 个模块 </w:t>
            </w:r>
            <w:r>
              <w:rPr>
                <w:rFonts w:hint="default" w:ascii="Times New Roman" w:hAnsi="Times New Roman" w:eastAsia="仿宋_GB2312" w:cs="Times New Roman"/>
                <w:sz w:val="24"/>
                <w:szCs w:val="24"/>
              </w:rPr>
              <w:t>45</w:t>
            </w:r>
            <w:r>
              <w:rPr>
                <w:rFonts w:hint="eastAsia" w:ascii="仿宋_GB2312" w:hAnsi="仿宋_GB2312" w:eastAsia="仿宋_GB2312" w:cs="仿宋_GB2312"/>
                <w:sz w:val="24"/>
                <w:szCs w:val="24"/>
              </w:rPr>
              <w:t xml:space="preserve"> 任务组成，模块内容分别为出纳岗位、采购与应付核算、成本核算、费用核算、销售与应收核算、薪酬核算、税务核算、财产物资管理、资金核算和总账核算。</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线上课堂在课前引导学生预习知识，课中发起讨论和头脑风暴，课后巩固和拓展知识； 实体课堂重在引导学生内化知识和进行技能训练。主要采用以下教学方法：情景教学法、角色扮演法、模拟教学法、分组教学法等，从而达到最佳教与学的效果。</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17</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pStyle w:val="12"/>
              <w:keepNext w:val="0"/>
              <w:keepLines w:val="0"/>
              <w:pageBreakBefore w:val="0"/>
              <w:tabs>
                <w:tab w:val="left" w:pos="1794"/>
              </w:tabs>
              <w:kinsoku/>
              <w:wordWrap/>
              <w:overflowPunct/>
              <w:topLinePunct w:val="0"/>
              <w:autoSpaceDE w:val="0"/>
              <w:autoSpaceDN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企业纳税实训</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本课程的中心任务是让学生熟悉和掌握企业纳税实务基本理论及方法，系统掌握企业各税种的含义、计算方法以及纳税申报表的填报。培养学生运用所学的专业知识来解决实际工作所涉及的会计与税务疑难问题；培养学生能独立操作、正确处理在实际工作当中经常涉及到的涉税核算业务</w:t>
            </w:r>
            <w:r>
              <w:rPr>
                <w:rFonts w:hint="eastAsia" w:ascii="仿宋_GB2312" w:hAnsi="仿宋_GB2312" w:cs="仿宋_GB2312"/>
                <w:sz w:val="24"/>
                <w:szCs w:val="24"/>
                <w:lang w:eastAsia="zh-CN"/>
              </w:rPr>
              <w:t>。</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本课程共划分为八个项目 </w:t>
            </w:r>
            <w:r>
              <w:rPr>
                <w:rFonts w:hint="default" w:ascii="Times New Roman" w:hAnsi="Times New Roman" w:eastAsia="仿宋_GB2312" w:cs="Times New Roman"/>
                <w:sz w:val="24"/>
                <w:szCs w:val="24"/>
              </w:rPr>
              <w:t>16</w:t>
            </w:r>
            <w:r>
              <w:rPr>
                <w:rFonts w:hint="eastAsia" w:ascii="仿宋_GB2312" w:hAnsi="仿宋_GB2312" w:eastAsia="仿宋_GB2312" w:cs="仿宋_GB2312"/>
                <w:sz w:val="24"/>
                <w:szCs w:val="24"/>
              </w:rPr>
              <w:t xml:space="preserve"> 个工作任务，项目模块顺序为：首先概括论述了纳税实务的基本知识,包括纳税实务基本原理、技术和方法。其次重点介绍了纳税具体工作项目内容,主要内容包括:增值税、消费税、关税、企业所得税、个人所得税及其他税种的计算与申报；最后， 纳税筹划的综合衡量。</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中采取形式多样的教学活动，激发学生的学习兴趣，充分利用多媒体和网络学习资源促进学生自主学习，可以采用以下方法：讲授法、案例分析、分组讨论、角色扮演、项目教学、启发引导等教学方法，引导学生积极思考、乐于实践，提高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18</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cs="仿宋_GB2312"/>
                <w:color w:val="000000"/>
                <w:sz w:val="24"/>
                <w:szCs w:val="24"/>
                <w:lang w:val="en-US" w:eastAsia="zh-CN"/>
              </w:rPr>
              <w:t>专业课</w:t>
            </w:r>
          </w:p>
        </w:tc>
        <w:tc>
          <w:tcPr>
            <w:tcW w:w="1189" w:type="dxa"/>
            <w:tcBorders>
              <w:top w:val="single" w:color="auto" w:sz="4" w:space="0"/>
              <w:left w:val="single" w:color="auto" w:sz="4" w:space="0"/>
              <w:bottom w:val="single" w:color="auto" w:sz="4" w:space="0"/>
              <w:right w:val="single" w:color="auto" w:sz="4" w:space="0"/>
            </w:tcBorders>
            <w:vAlign w:val="center"/>
          </w:tcPr>
          <w:p>
            <w:pPr>
              <w:pStyle w:val="12"/>
              <w:keepNext w:val="0"/>
              <w:keepLines w:val="0"/>
              <w:pageBreakBefore w:val="0"/>
              <w:tabs>
                <w:tab w:val="left" w:pos="1794"/>
              </w:tabs>
              <w:kinsoku/>
              <w:wordWrap/>
              <w:overflowPunct/>
              <w:topLinePunct w:val="0"/>
              <w:autoSpaceDE w:val="0"/>
              <w:autoSpaceDN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成本计算与管理方法</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通过这门课的学习，使学生掌握有关成本的基本理论和基本分析、计算方法，并具备对成本报表进行分析的基本技能。</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内容包括三大部分：一是成本会计总论，主要介绍成本会计的对象、任务、职能和成本会计工作的组织等；二是成本的计算与核算，主要介绍要素费用、废品损失和停工损失、生产费用在完工产品与在产品之间分配和归集的核算，以及成本计算的品种法、分批法、分步法等；三是成本报表的编制与分析。</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融合工学结合，利用校外实训基地或其他单位进行校外实训，使理论和实际深度结合，锻炼了学生的实际工作能力，也为学生就业打下了良好的基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kern w:val="2"/>
                <w:sz w:val="24"/>
                <w:szCs w:val="24"/>
                <w:lang w:val="en-US" w:eastAsia="zh-CN" w:bidi="ar-SA"/>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pStyle w:val="12"/>
              <w:keepNext w:val="0"/>
              <w:keepLines w:val="0"/>
              <w:pageBreakBefore w:val="0"/>
              <w:tabs>
                <w:tab w:val="left" w:pos="1794"/>
              </w:tabs>
              <w:kinsoku/>
              <w:wordWrap/>
              <w:overflowPunct/>
              <w:topLinePunct w:val="0"/>
              <w:autoSpaceDE w:val="0"/>
              <w:autoSpaceDN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会计信息管理系统运用</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通过本课程的学习，掌握 财务链的基本理论和基本方法， 具备财务业务一体化操作能力，能使用财务软件完成建账、供应链初始设置、采购与应付款管理、销售与应收款管理、库存与存货核算等工作，并通过对一种软件的学习、操作形成对其他通用商品化软件使用的类化经验，利用所学习的知识、技能操作其他 财务软件。</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本课程主要由 </w:t>
            </w:r>
            <w:r>
              <w:rPr>
                <w:rFonts w:hint="default" w:ascii="Times New Roman" w:hAnsi="Times New Roman" w:eastAsia="仿宋_GB2312" w:cs="Times New Roman"/>
                <w:sz w:val="24"/>
                <w:szCs w:val="24"/>
              </w:rPr>
              <w:t>8</w:t>
            </w:r>
            <w:r>
              <w:rPr>
                <w:rFonts w:hint="eastAsia" w:ascii="仿宋_GB2312" w:hAnsi="仿宋_GB2312" w:eastAsia="仿宋_GB2312" w:cs="仿宋_GB2312"/>
                <w:sz w:val="24"/>
                <w:szCs w:val="24"/>
              </w:rPr>
              <w:t xml:space="preserve"> 个项目 </w:t>
            </w:r>
            <w:r>
              <w:rPr>
                <w:rFonts w:hint="default" w:ascii="Times New Roman" w:hAnsi="Times New Roman" w:eastAsia="仿宋_GB2312" w:cs="Times New Roman"/>
                <w:sz w:val="24"/>
                <w:szCs w:val="24"/>
              </w:rPr>
              <w:t>30</w:t>
            </w:r>
            <w:r>
              <w:rPr>
                <w:rFonts w:hint="eastAsia" w:ascii="仿宋_GB2312" w:hAnsi="仿宋_GB2312" w:eastAsia="仿宋_GB2312" w:cs="仿宋_GB2312"/>
                <w:sz w:val="24"/>
                <w:szCs w:val="24"/>
              </w:rPr>
              <w:t xml:space="preserve"> 个任务组成。具体项目为账套创建与管理、基础信息设置、业务子系统初始设置、采购管理系统业务处理、销售管理系统业务处理、库存管理系统业务处理、存货核算系统业务处理、期末业务处理。</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教学中采取形式多样的教学活动，激发学生的学习兴趣，充分利用多媒体和网络学习资源促进学生自主学习，可以采用以下方法： 任务驱动法、情景教学法、角色扮演法、分组教学法、上机操作等，从而达到最佳教与学的效果。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20</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kern w:val="2"/>
                <w:sz w:val="24"/>
                <w:szCs w:val="24"/>
                <w:lang w:val="en-US" w:eastAsia="zh-CN" w:bidi="ar-SA"/>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pStyle w:val="12"/>
              <w:keepNext w:val="0"/>
              <w:keepLines w:val="0"/>
              <w:pageBreakBefore w:val="0"/>
              <w:tabs>
                <w:tab w:val="left" w:pos="1794"/>
              </w:tabs>
              <w:kinsoku/>
              <w:wordWrap/>
              <w:overflowPunct/>
              <w:topLinePunct w:val="0"/>
              <w:autoSpaceDE w:val="0"/>
              <w:autoSpaceDN w:val="0"/>
              <w:bidi w:val="0"/>
              <w:adjustRightInd/>
              <w:snapToGrid/>
              <w:spacing w:line="400" w:lineRule="exact"/>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财务管理</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通过本课程的学习，要求掌握现代化财务管理的基本理论，具有从事经济管理工作所必需的财务管理业务知识和工作能力，具备财务管理业务水平。</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本课程以企业资金运动为中心内容，以资金的筹集、投放、耗费、收入和分配为框架，阐述财务管理的基本概念、管理原则、管理制度等理论问题以及预测、决策、计划、控制、分析等业务方法。</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通过课后辅导、实训课及工学结合，使学生能够通过不同的方式巩固所学知识； 　</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利用校内会计手工操作及电算化模拟实训室进行仿真实训，使学生在巩固所学知识的同时，提高会计实务动手能力和综合素质。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1</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kern w:val="2"/>
                <w:sz w:val="24"/>
                <w:szCs w:val="24"/>
                <w:lang w:val="en-US" w:eastAsia="zh-CN" w:bidi="ar-SA"/>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pacing w:val="-20"/>
                <w:sz w:val="24"/>
                <w:szCs w:val="24"/>
              </w:rPr>
            </w:pPr>
            <w:r>
              <w:rPr>
                <w:rFonts w:hint="default" w:ascii="Times New Roman" w:hAnsi="Times New Roman" w:eastAsia="仿宋_GB2312" w:cs="Times New Roman"/>
                <w:kern w:val="0"/>
                <w:sz w:val="24"/>
                <w:szCs w:val="24"/>
              </w:rPr>
              <w:t>Access</w:t>
            </w:r>
            <w:r>
              <w:rPr>
                <w:rFonts w:hint="eastAsia" w:ascii="仿宋_GB2312" w:hAnsi="仿宋_GB2312" w:eastAsia="仿宋_GB2312" w:cs="仿宋_GB2312"/>
                <w:kern w:val="0"/>
                <w:sz w:val="24"/>
                <w:szCs w:val="24"/>
              </w:rPr>
              <w:t>数据库技术</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数据库基础知识和基本技能，培养学生利用数据库系统进行数据处理的能力，使学生能使用所学的数据库知识，根据实际问题进行数据库的创建与维护、检索与统计，能开发简单的数据库应用程序，具备计算机信息管理的初步能力。</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数据库基础、表、查询、窗体、报表、数据访问页、宏、模块、</w:t>
            </w:r>
            <w:r>
              <w:rPr>
                <w:rFonts w:hint="default" w:ascii="Times New Roman" w:hAnsi="Times New Roman" w:eastAsia="仿宋_GB2312" w:cs="Times New Roman"/>
                <w:sz w:val="24"/>
                <w:szCs w:val="24"/>
              </w:rPr>
              <w:t>VBA</w:t>
            </w:r>
            <w:r>
              <w:rPr>
                <w:rFonts w:hint="eastAsia" w:ascii="仿宋_GB2312" w:hAnsi="仿宋_GB2312" w:eastAsia="仿宋_GB2312" w:cs="仿宋_GB2312"/>
                <w:sz w:val="24"/>
                <w:szCs w:val="24"/>
              </w:rPr>
              <w:t>编程基础</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在教学过程中应该加强学生操作技能的培养，以典型案例教学的方式，注重以任务引领，提高学生学习兴趣。</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教学应该在机房进行，充分体现在“做中学、学中做”的理念。教师应按照项目的学习目标编制项目任务书。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2</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kern w:val="2"/>
                <w:sz w:val="24"/>
                <w:szCs w:val="24"/>
                <w:lang w:val="en-US" w:eastAsia="zh-CN" w:bidi="ar-SA"/>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pacing w:val="-20"/>
                <w:sz w:val="24"/>
                <w:szCs w:val="24"/>
              </w:rPr>
            </w:pPr>
            <w:r>
              <w:rPr>
                <w:rFonts w:hint="eastAsia" w:ascii="仿宋_GB2312" w:hAnsi="仿宋_GB2312" w:eastAsia="仿宋_GB2312" w:cs="仿宋_GB2312"/>
                <w:sz w:val="24"/>
                <w:szCs w:val="24"/>
              </w:rPr>
              <w:t>财务审计基础与操作实务</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掌握审计的基本理论，基本方法和基本技能，为进一步学习和学好其他专业课程奠定一个坚实的基础；同时使学生具备审计方面的分析问题和解决问题的能力； 也为将来做好审计工作和加强企业经济监督奠定必要的专业素质，以使毕业生在未来的经济监督工作中更好地发挥作用。</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numPr>
                <w:ilvl w:val="0"/>
                <w:numId w:val="3"/>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审计要素；</w:t>
            </w:r>
          </w:p>
          <w:p>
            <w:pPr>
              <w:keepNext w:val="0"/>
              <w:keepLines w:val="0"/>
              <w:pageBreakBefore w:val="0"/>
              <w:numPr>
                <w:ilvl w:val="0"/>
                <w:numId w:val="3"/>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审计方法；</w:t>
            </w:r>
          </w:p>
          <w:p>
            <w:pPr>
              <w:keepNext w:val="0"/>
              <w:keepLines w:val="0"/>
              <w:pageBreakBefore w:val="0"/>
              <w:numPr>
                <w:ilvl w:val="0"/>
                <w:numId w:val="3"/>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内部控制；</w:t>
            </w:r>
          </w:p>
          <w:p>
            <w:pPr>
              <w:keepNext w:val="0"/>
              <w:keepLines w:val="0"/>
              <w:pageBreakBefore w:val="0"/>
              <w:numPr>
                <w:ilvl w:val="0"/>
                <w:numId w:val="3"/>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资产审计；</w:t>
            </w:r>
          </w:p>
          <w:p>
            <w:pPr>
              <w:keepNext w:val="0"/>
              <w:keepLines w:val="0"/>
              <w:pageBreakBefore w:val="0"/>
              <w:numPr>
                <w:ilvl w:val="0"/>
                <w:numId w:val="3"/>
              </w:numPr>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负债与所有者权益审计</w:t>
            </w: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教学过程中，应立足于加强学生实际运用能力的培养，采用能力教训模式，以工作需要为引领，提高学生的学习兴趣，激发学生的成就动机。应选用典型的审计案例为载体，在教学过程中，学生讨论和教师引导有机结合，让学生在“教”与“学”的过程中，对审计产生感性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textAlignment w:val="auto"/>
              <w:rPr>
                <w:rFonts w:hint="eastAsia" w:ascii="仿宋_GB2312" w:hAnsi="仿宋_GB2312" w:eastAsia="仿宋_GB2312" w:cs="仿宋_GB2312"/>
                <w:sz w:val="24"/>
                <w:szCs w:val="24"/>
                <w:lang w:eastAsia="zh-CN"/>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3</w:t>
            </w:r>
          </w:p>
        </w:tc>
        <w:tc>
          <w:tcPr>
            <w:tcW w:w="653"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kern w:val="2"/>
                <w:sz w:val="24"/>
                <w:szCs w:val="24"/>
                <w:lang w:val="en-US" w:eastAsia="zh-CN" w:bidi="ar-SA"/>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Excel</w:t>
            </w:r>
            <w:r>
              <w:rPr>
                <w:rFonts w:hint="eastAsia" w:ascii="仿宋_GB2312" w:hAnsi="仿宋_GB2312" w:eastAsia="仿宋_GB2312" w:cs="仿宋_GB2312"/>
                <w:sz w:val="24"/>
                <w:szCs w:val="24"/>
              </w:rPr>
              <w:t>在会计中的应用</w:t>
            </w:r>
          </w:p>
        </w:tc>
        <w:tc>
          <w:tcPr>
            <w:tcW w:w="198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通过本课程的教学，使会计专业学生掌握</w:t>
            </w:r>
            <w:r>
              <w:rPr>
                <w:rFonts w:hint="default" w:ascii="Times New Roman" w:hAnsi="Times New Roman" w:eastAsia="仿宋_GB2312" w:cs="Times New Roman"/>
                <w:sz w:val="24"/>
                <w:szCs w:val="24"/>
              </w:rPr>
              <w:t>EXCEL</w:t>
            </w:r>
            <w:r>
              <w:rPr>
                <w:rFonts w:hint="eastAsia" w:ascii="仿宋_GB2312" w:hAnsi="仿宋_GB2312" w:eastAsia="仿宋_GB2312" w:cs="仿宋_GB2312"/>
                <w:sz w:val="24"/>
                <w:szCs w:val="24"/>
              </w:rPr>
              <w:t>的基本操作，熟悉</w:t>
            </w:r>
            <w:r>
              <w:rPr>
                <w:rFonts w:hint="default" w:ascii="Times New Roman" w:hAnsi="Times New Roman" w:eastAsia="仿宋_GB2312" w:cs="Times New Roman"/>
                <w:sz w:val="24"/>
                <w:szCs w:val="24"/>
              </w:rPr>
              <w:t>EXCEL</w:t>
            </w:r>
            <w:r>
              <w:rPr>
                <w:rFonts w:hint="eastAsia" w:ascii="仿宋_GB2312" w:hAnsi="仿宋_GB2312" w:eastAsia="仿宋_GB2312" w:cs="仿宋_GB2312"/>
                <w:sz w:val="24"/>
                <w:szCs w:val="24"/>
              </w:rPr>
              <w:t>在财务的基本应用，通过对</w:t>
            </w:r>
            <w:r>
              <w:rPr>
                <w:rFonts w:hint="default" w:ascii="Times New Roman" w:hAnsi="Times New Roman" w:eastAsia="仿宋_GB2312" w:cs="Times New Roman"/>
                <w:sz w:val="24"/>
                <w:szCs w:val="24"/>
              </w:rPr>
              <w:t>EXCEL</w:t>
            </w:r>
            <w:r>
              <w:rPr>
                <w:rFonts w:hint="eastAsia" w:ascii="仿宋_GB2312" w:hAnsi="仿宋_GB2312" w:eastAsia="仿宋_GB2312" w:cs="仿宋_GB2312"/>
                <w:sz w:val="24"/>
                <w:szCs w:val="24"/>
              </w:rPr>
              <w:t>财务函数、公式、图表、数据、开发工具等功能的学习，为企业高效财务信息化工作打下基础。</w:t>
            </w:r>
          </w:p>
        </w:tc>
        <w:tc>
          <w:tcPr>
            <w:tcW w:w="255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项目一 </w:t>
            </w:r>
            <w:r>
              <w:rPr>
                <w:rFonts w:hint="default" w:ascii="Times New Roman" w:hAnsi="Times New Roman" w:eastAsia="仿宋_GB2312" w:cs="Times New Roman"/>
                <w:sz w:val="24"/>
                <w:szCs w:val="24"/>
              </w:rPr>
              <w:t>EXCEL</w:t>
            </w:r>
            <w:r>
              <w:rPr>
                <w:rFonts w:hint="eastAsia" w:ascii="仿宋_GB2312" w:hAnsi="仿宋_GB2312" w:eastAsia="仿宋_GB2312" w:cs="仿宋_GB2312"/>
                <w:sz w:val="24"/>
                <w:szCs w:val="24"/>
              </w:rPr>
              <w:t>基础与数据处理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项目二 </w:t>
            </w:r>
            <w:r>
              <w:rPr>
                <w:rFonts w:hint="default" w:ascii="Times New Roman" w:hAnsi="Times New Roman" w:eastAsia="仿宋_GB2312" w:cs="Times New Roman"/>
                <w:sz w:val="24"/>
                <w:szCs w:val="24"/>
              </w:rPr>
              <w:t>EXCEL</w:t>
            </w:r>
            <w:r>
              <w:rPr>
                <w:rFonts w:hint="eastAsia" w:ascii="仿宋_GB2312" w:hAnsi="仿宋_GB2312" w:eastAsia="仿宋_GB2312" w:cs="仿宋_GB2312"/>
                <w:sz w:val="24"/>
                <w:szCs w:val="24"/>
              </w:rPr>
              <w:t>基础与数据处理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项目三 筹资管理决策模型与应用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项目四 项目投资决策与应用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项目五 营运资金的管理</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项目六 利润管理决策模型与应用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项目七 全面预算编制方法与应用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项目八 财务报（图）表模型应用</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p>
        </w:tc>
        <w:tc>
          <w:tcPr>
            <w:tcW w:w="226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在教学过程中应注重培养学生的动手能力。在理论知识教学的同时，强化实践性教学环节，突出学生综合素质和职业能力培养，激发学生学习的兴趣，调动学生学习的积极性，不断提高学生实践能力和创新能力。 </w:t>
            </w:r>
          </w:p>
          <w:p>
            <w:pPr>
              <w:keepNext w:val="0"/>
              <w:keepLines w:val="0"/>
              <w:pageBreakBefore w:val="0"/>
              <w:kinsoku/>
              <w:wordWrap/>
              <w:overflowPunct/>
              <w:topLinePunct w:val="0"/>
              <w:bidi w:val="0"/>
              <w:adjustRightInd/>
              <w:snapToGrid/>
              <w:spacing w:line="400" w:lineRule="exact"/>
              <w:ind w:firstLine="0" w:firstLineChars="0"/>
              <w:jc w:val="left"/>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．在教学过程中坚持“仿真式”教学模式。采用大量的演示教学与案例教学，配合教师的讲授，让学生充分理解企业的实际操作流程，实现课堂学习与实际应用零距离对接，学生从事实际工作时不会有陌生感。</w:t>
            </w:r>
          </w:p>
        </w:tc>
      </w:tr>
    </w:tbl>
    <w:p>
      <w:pPr>
        <w:jc w:val="both"/>
      </w:pPr>
    </w:p>
    <w:p>
      <w:pPr>
        <w:jc w:val="both"/>
      </w:pPr>
    </w:p>
    <w:p>
      <w:pPr>
        <w:pStyle w:val="4"/>
        <w:bidi w:val="0"/>
      </w:pPr>
      <w:r>
        <w:rPr>
          <w:rFonts w:hint="eastAsia"/>
          <w:lang w:eastAsia="zh-CN"/>
        </w:rPr>
        <w:t>（</w:t>
      </w:r>
      <w:r>
        <w:rPr>
          <w:rFonts w:hint="eastAsia"/>
          <w:lang w:val="en-US" w:eastAsia="zh-CN"/>
        </w:rPr>
        <w:t>二</w:t>
      </w:r>
      <w:r>
        <w:rPr>
          <w:rFonts w:hint="eastAsia"/>
          <w:lang w:eastAsia="zh-CN"/>
        </w:rPr>
        <w:t>）</w:t>
      </w:r>
      <w:r>
        <w:rPr>
          <w:rFonts w:hint="eastAsia"/>
        </w:rPr>
        <w:t>专业主要课程</w:t>
      </w:r>
    </w:p>
    <w:p>
      <w:pPr>
        <w:bidi w:val="0"/>
      </w:pPr>
      <w:r>
        <w:rPr>
          <w:rFonts w:hint="eastAsia"/>
        </w:rPr>
        <w:t>初级会计、中级财务会计、企业纳税实训、财务管理、财务审计基础与操作实务、</w:t>
      </w:r>
      <w:r>
        <w:rPr>
          <w:rFonts w:hint="default" w:ascii="Times New Roman" w:hAnsi="Times New Roman" w:cs="Times New Roman"/>
        </w:rPr>
        <w:t>Excel</w:t>
      </w:r>
      <w:r>
        <w:rPr>
          <w:rFonts w:hint="eastAsia"/>
        </w:rPr>
        <w:t>在会计中的应用等。</w:t>
      </w:r>
    </w:p>
    <w:p>
      <w:pPr>
        <w:pStyle w:val="4"/>
        <w:bidi w:val="0"/>
        <w:rPr>
          <w:rFonts w:hint="eastAsia"/>
        </w:rPr>
      </w:pPr>
      <w:r>
        <w:rPr>
          <w:rFonts w:hint="eastAsia"/>
          <w:lang w:eastAsia="zh-CN"/>
        </w:rPr>
        <w:t>（</w:t>
      </w:r>
      <w:r>
        <w:rPr>
          <w:rFonts w:hint="eastAsia"/>
          <w:lang w:val="en-US" w:eastAsia="zh-CN"/>
        </w:rPr>
        <w:t>三</w:t>
      </w:r>
      <w:r>
        <w:rPr>
          <w:rFonts w:hint="eastAsia"/>
          <w:lang w:eastAsia="zh-CN"/>
        </w:rPr>
        <w:t>）</w:t>
      </w:r>
      <w:r>
        <w:rPr>
          <w:rFonts w:hint="eastAsia"/>
        </w:rPr>
        <w:t>教学（学习）方式</w:t>
      </w:r>
    </w:p>
    <w:p>
      <w:pPr>
        <w:bidi w:val="0"/>
      </w:pPr>
      <w:r>
        <w:rPr>
          <w:rFonts w:hint="eastAsia"/>
        </w:rPr>
        <w:t>线上</w:t>
      </w:r>
      <w:r>
        <w:rPr>
          <w:rFonts w:hint="eastAsia"/>
          <w:lang w:val="en-US" w:eastAsia="zh-CN"/>
        </w:rPr>
        <w:t>+面授</w:t>
      </w:r>
    </w:p>
    <w:p>
      <w:pPr>
        <w:pStyle w:val="4"/>
        <w:bidi w:val="0"/>
        <w:rPr>
          <w:rFonts w:hint="eastAsia"/>
        </w:rPr>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rPr>
          <w:rFonts w:hint="eastAsia"/>
          <w:b/>
        </w:rPr>
      </w:pPr>
      <w:r>
        <w:rPr>
          <w:rFonts w:hint="eastAsia"/>
          <w:b/>
          <w:bCs/>
          <w:lang w:val="en-US" w:eastAsia="zh-CN"/>
        </w:rPr>
        <w:t>考核要求：</w:t>
      </w: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六、支持服务能力</w:t>
      </w:r>
    </w:p>
    <w:p>
      <w:pPr>
        <w:pStyle w:val="4"/>
        <w:bidi w:val="0"/>
      </w:pPr>
      <w:bookmarkStart w:id="2" w:name="_Toc46303727"/>
      <w:r>
        <w:rPr>
          <w:rFonts w:hint="eastAsia"/>
        </w:rPr>
        <w:t>（一）师资队伍</w:t>
      </w:r>
      <w:bookmarkEnd w:id="2"/>
    </w:p>
    <w:p>
      <w:pPr>
        <w:bidi w:val="0"/>
      </w:pPr>
      <w:r>
        <w:rPr>
          <w:rFonts w:hint="default" w:ascii="Times New Roman" w:hAnsi="Times New Roman" w:cs="Times New Roman"/>
        </w:rPr>
        <w:t>1</w:t>
      </w:r>
      <w:r>
        <w:rPr>
          <w:rFonts w:hint="eastAsia"/>
        </w:rPr>
        <w:t>.队伍结构</w:t>
      </w:r>
    </w:p>
    <w:p>
      <w:pPr>
        <w:bidi w:val="0"/>
      </w:pPr>
      <w:r>
        <w:rPr>
          <w:rFonts w:hint="eastAsia"/>
        </w:rPr>
        <w:t>会计专业共有教师</w:t>
      </w:r>
      <w:r>
        <w:rPr>
          <w:rFonts w:hint="default" w:ascii="Times New Roman" w:hAnsi="Times New Roman" w:cs="Times New Roman"/>
        </w:rPr>
        <w:t>13</w:t>
      </w:r>
      <w:r>
        <w:rPr>
          <w:rFonts w:hint="eastAsia"/>
        </w:rPr>
        <w:t>名，其中，专任教师</w:t>
      </w:r>
      <w:r>
        <w:rPr>
          <w:rFonts w:hint="default" w:ascii="Times New Roman" w:hAnsi="Times New Roman" w:cs="Times New Roman"/>
        </w:rPr>
        <w:t>9</w:t>
      </w:r>
      <w:r>
        <w:rPr>
          <w:rFonts w:hint="eastAsia"/>
        </w:rPr>
        <w:t>名，兼职、兼课教师</w:t>
      </w:r>
      <w:r>
        <w:rPr>
          <w:rFonts w:hint="default" w:ascii="Times New Roman" w:hAnsi="Times New Roman" w:cs="Times New Roman"/>
        </w:rPr>
        <w:t>4</w:t>
      </w:r>
      <w:r>
        <w:rPr>
          <w:rFonts w:hint="eastAsia"/>
        </w:rPr>
        <w:t>名。专任教师中，高级职称教师</w:t>
      </w:r>
      <w:r>
        <w:rPr>
          <w:rFonts w:hint="default" w:ascii="Times New Roman" w:hAnsi="Times New Roman" w:cs="Times New Roman"/>
        </w:rPr>
        <w:t>3</w:t>
      </w:r>
      <w:r>
        <w:rPr>
          <w:rFonts w:hint="eastAsia"/>
        </w:rPr>
        <w:t>名，占</w:t>
      </w:r>
      <w:r>
        <w:rPr>
          <w:rFonts w:hint="default" w:ascii="Times New Roman" w:hAnsi="Times New Roman" w:cs="Times New Roman"/>
        </w:rPr>
        <w:t>33</w:t>
      </w:r>
      <w:r>
        <w:rPr>
          <w:rFonts w:hint="eastAsia"/>
        </w:rPr>
        <w:t>％，中级职称教师</w:t>
      </w:r>
      <w:r>
        <w:rPr>
          <w:rFonts w:hint="default" w:ascii="Times New Roman" w:hAnsi="Times New Roman" w:cs="Times New Roman"/>
        </w:rPr>
        <w:t>5</w:t>
      </w:r>
      <w:r>
        <w:rPr>
          <w:rFonts w:hint="eastAsia"/>
        </w:rPr>
        <w:t>名，占</w:t>
      </w:r>
      <w:r>
        <w:rPr>
          <w:rFonts w:hint="default" w:ascii="Times New Roman" w:hAnsi="Times New Roman" w:cs="Times New Roman"/>
        </w:rPr>
        <w:t>56</w:t>
      </w:r>
      <w:r>
        <w:rPr>
          <w:rFonts w:hint="eastAsia"/>
        </w:rPr>
        <w:t>％，初级职称教师</w:t>
      </w:r>
      <w:r>
        <w:rPr>
          <w:rFonts w:hint="default" w:ascii="Times New Roman" w:hAnsi="Times New Roman" w:cs="Times New Roman"/>
        </w:rPr>
        <w:t>1</w:t>
      </w:r>
      <w:r>
        <w:rPr>
          <w:rFonts w:hint="eastAsia"/>
        </w:rPr>
        <w:t>名，占</w:t>
      </w:r>
      <w:r>
        <w:rPr>
          <w:rFonts w:hint="default" w:ascii="Times New Roman" w:hAnsi="Times New Roman" w:cs="Times New Roman"/>
        </w:rPr>
        <w:t>11</w:t>
      </w:r>
      <w:r>
        <w:rPr>
          <w:rFonts w:hint="eastAsia"/>
        </w:rPr>
        <w:t>％；取得硕士学位以上教师</w:t>
      </w:r>
      <w:r>
        <w:rPr>
          <w:rFonts w:hint="default" w:ascii="Times New Roman" w:hAnsi="Times New Roman" w:cs="Times New Roman"/>
        </w:rPr>
        <w:t>5</w:t>
      </w:r>
      <w:r>
        <w:rPr>
          <w:rFonts w:hint="eastAsia"/>
        </w:rPr>
        <w:t>名，占</w:t>
      </w:r>
      <w:r>
        <w:rPr>
          <w:rFonts w:hint="default" w:ascii="Times New Roman" w:hAnsi="Times New Roman" w:cs="Times New Roman"/>
        </w:rPr>
        <w:t>56</w:t>
      </w:r>
      <w:r>
        <w:rPr>
          <w:rFonts w:hint="eastAsia"/>
        </w:rPr>
        <w:t>％；双师素质教师</w:t>
      </w:r>
      <w:r>
        <w:rPr>
          <w:rFonts w:hint="default" w:ascii="Times New Roman" w:hAnsi="Times New Roman" w:cs="Times New Roman"/>
        </w:rPr>
        <w:t>4</w:t>
      </w:r>
      <w:r>
        <w:rPr>
          <w:rFonts w:hint="eastAsia"/>
        </w:rPr>
        <w:t>名，双师素质教师占专任教师总数的</w:t>
      </w:r>
      <w:r>
        <w:rPr>
          <w:rFonts w:hint="default" w:ascii="Times New Roman" w:hAnsi="Times New Roman" w:cs="Times New Roman"/>
        </w:rPr>
        <w:t>44</w:t>
      </w:r>
      <w:r>
        <w:rPr>
          <w:rFonts w:hint="eastAsia"/>
        </w:rPr>
        <w:t>％。</w:t>
      </w:r>
    </w:p>
    <w:p>
      <w:pPr>
        <w:bidi w:val="0"/>
      </w:pPr>
      <w:r>
        <w:rPr>
          <w:rFonts w:hint="eastAsia"/>
        </w:rPr>
        <w:t>学校专任教师中，</w:t>
      </w:r>
      <w:r>
        <w:rPr>
          <w:rFonts w:hint="default" w:ascii="Times New Roman" w:hAnsi="Times New Roman" w:cs="Times New Roman"/>
        </w:rPr>
        <w:t>35</w:t>
      </w:r>
      <w:r>
        <w:rPr>
          <w:rFonts w:hint="eastAsia"/>
        </w:rPr>
        <w:t>岁以下教师</w:t>
      </w:r>
      <w:r>
        <w:rPr>
          <w:rFonts w:hint="default" w:ascii="Times New Roman" w:hAnsi="Times New Roman" w:cs="Times New Roman"/>
        </w:rPr>
        <w:t>3</w:t>
      </w:r>
      <w:r>
        <w:rPr>
          <w:rFonts w:hint="eastAsia"/>
        </w:rPr>
        <w:t>人，占专任教师总数的</w:t>
      </w:r>
      <w:r>
        <w:rPr>
          <w:rFonts w:hint="default" w:ascii="Times New Roman" w:hAnsi="Times New Roman" w:cs="Times New Roman"/>
        </w:rPr>
        <w:t>33</w:t>
      </w:r>
      <w:r>
        <w:rPr>
          <w:rFonts w:hint="eastAsia"/>
        </w:rPr>
        <w:t xml:space="preserve"> %，</w:t>
      </w:r>
      <w:r>
        <w:rPr>
          <w:rFonts w:hint="default" w:ascii="Times New Roman" w:hAnsi="Times New Roman" w:cs="Times New Roman"/>
        </w:rPr>
        <w:t>36</w:t>
      </w:r>
      <w:r>
        <w:rPr>
          <w:rFonts w:hint="eastAsia"/>
        </w:rPr>
        <w:t>-</w:t>
      </w:r>
      <w:r>
        <w:rPr>
          <w:rFonts w:hint="default" w:ascii="Times New Roman" w:hAnsi="Times New Roman" w:cs="Times New Roman"/>
        </w:rPr>
        <w:t>45</w:t>
      </w:r>
      <w:r>
        <w:rPr>
          <w:rFonts w:hint="eastAsia"/>
        </w:rPr>
        <w:t>岁教师</w:t>
      </w:r>
      <w:r>
        <w:rPr>
          <w:rFonts w:hint="default" w:ascii="Times New Roman" w:hAnsi="Times New Roman" w:cs="Times New Roman"/>
        </w:rPr>
        <w:t>4</w:t>
      </w:r>
      <w:r>
        <w:rPr>
          <w:rFonts w:hint="eastAsia"/>
        </w:rPr>
        <w:t>人，占专任教师总数的</w:t>
      </w:r>
      <w:r>
        <w:rPr>
          <w:rFonts w:hint="default" w:ascii="Times New Roman" w:hAnsi="Times New Roman" w:cs="Times New Roman"/>
        </w:rPr>
        <w:t>45</w:t>
      </w:r>
      <w:r>
        <w:rPr>
          <w:rFonts w:hint="eastAsia"/>
        </w:rPr>
        <w:t>%，</w:t>
      </w:r>
      <w:r>
        <w:rPr>
          <w:rFonts w:hint="default" w:ascii="Times New Roman" w:hAnsi="Times New Roman" w:cs="Times New Roman"/>
        </w:rPr>
        <w:t>46</w:t>
      </w:r>
      <w:r>
        <w:rPr>
          <w:rFonts w:hint="eastAsia"/>
        </w:rPr>
        <w:t>-</w:t>
      </w:r>
      <w:r>
        <w:rPr>
          <w:rFonts w:hint="default" w:ascii="Times New Roman" w:hAnsi="Times New Roman" w:cs="Times New Roman"/>
        </w:rPr>
        <w:t>60</w:t>
      </w:r>
      <w:r>
        <w:rPr>
          <w:rFonts w:hint="eastAsia"/>
        </w:rPr>
        <w:t>岁教师</w:t>
      </w:r>
      <w:r>
        <w:rPr>
          <w:rFonts w:hint="default" w:ascii="Times New Roman" w:hAnsi="Times New Roman" w:cs="Times New Roman"/>
        </w:rPr>
        <w:t>2</w:t>
      </w:r>
      <w:r>
        <w:rPr>
          <w:rFonts w:hint="eastAsia"/>
        </w:rPr>
        <w:t>人，占专任教师总数的</w:t>
      </w:r>
      <w:r>
        <w:rPr>
          <w:rFonts w:hint="default" w:ascii="Times New Roman" w:hAnsi="Times New Roman" w:cs="Times New Roman"/>
        </w:rPr>
        <w:t>22</w:t>
      </w:r>
      <w:r>
        <w:rPr>
          <w:rFonts w:hint="eastAsia"/>
        </w:rPr>
        <w:t>%。</w:t>
      </w:r>
    </w:p>
    <w:p>
      <w:pPr>
        <w:bidi w:val="0"/>
      </w:pPr>
      <w:r>
        <w:rPr>
          <w:rFonts w:hint="default" w:ascii="Times New Roman" w:hAnsi="Times New Roman" w:cs="Times New Roman"/>
        </w:rPr>
        <w:t>2</w:t>
      </w:r>
      <w:r>
        <w:rPr>
          <w:rFonts w:hint="eastAsia"/>
        </w:rPr>
        <w:t>．专任教师</w:t>
      </w:r>
    </w:p>
    <w:p>
      <w:pPr>
        <w:bidi w:val="0"/>
      </w:pPr>
      <w:r>
        <w:rPr>
          <w:rFonts w:hint="eastAsia"/>
        </w:rPr>
        <w:t>（</w:t>
      </w:r>
      <w:r>
        <w:rPr>
          <w:rFonts w:hint="default" w:ascii="Times New Roman" w:hAnsi="Times New Roman" w:cs="Times New Roman"/>
        </w:rPr>
        <w:t>1</w:t>
      </w:r>
      <w:r>
        <w:rPr>
          <w:rFonts w:hint="eastAsia"/>
        </w:rPr>
        <w:t>）专业带头人</w:t>
      </w:r>
    </w:p>
    <w:p>
      <w:pPr>
        <w:bidi w:val="0"/>
      </w:pPr>
      <w:r>
        <w:rPr>
          <w:rFonts w:hint="eastAsia"/>
        </w:rPr>
        <w:t xml:space="preserve">具有本科及以上学历，副高及以上职称，能够承担 </w:t>
      </w:r>
      <w:r>
        <w:rPr>
          <w:rFonts w:hint="default" w:ascii="Times New Roman" w:hAnsi="Times New Roman" w:cs="Times New Roman"/>
        </w:rPr>
        <w:t>2</w:t>
      </w:r>
      <w:r>
        <w:rPr>
          <w:rFonts w:hint="eastAsia"/>
        </w:rPr>
        <w:t>-</w:t>
      </w:r>
      <w:r>
        <w:rPr>
          <w:rFonts w:hint="default" w:ascii="Times New Roman" w:hAnsi="Times New Roman" w:cs="Times New Roman"/>
        </w:rPr>
        <w:t>4</w:t>
      </w:r>
      <w:r>
        <w:rPr>
          <w:rFonts w:hint="eastAsia"/>
        </w:rPr>
        <w:t xml:space="preserve"> 门专业课程教学任务， 具有良好的职业道德和团队精神，系统掌握财务会计、管理会计、会计信息化等方面的理论知识，具有较强的信息化教学能力和会计核算与监督实操能力，能够准确把握会计专业发展方向，引领本专业教师开展教学改革和科学研究，并积极服务本地区会计职业教育发展。</w:t>
      </w:r>
    </w:p>
    <w:p>
      <w:pPr>
        <w:bidi w:val="0"/>
      </w:pPr>
      <w:r>
        <w:rPr>
          <w:rFonts w:hint="eastAsia"/>
        </w:rPr>
        <w:t>（</w:t>
      </w:r>
      <w:r>
        <w:rPr>
          <w:rFonts w:hint="default" w:ascii="Times New Roman" w:hAnsi="Times New Roman" w:cs="Times New Roman"/>
        </w:rPr>
        <w:t>2</w:t>
      </w:r>
      <w:r>
        <w:rPr>
          <w:rFonts w:hint="eastAsia"/>
        </w:rPr>
        <w:t>）双师素质与骨干教师</w:t>
      </w:r>
    </w:p>
    <w:p>
      <w:pPr>
        <w:bidi w:val="0"/>
      </w:pPr>
      <w:r>
        <w:rPr>
          <w:rFonts w:hint="eastAsia"/>
        </w:rPr>
        <w:t xml:space="preserve">专任教师应具有会计、财务管理、工商管理、会计信息管理等相关专业本科及以上学历，中级及以上职称，具有高校教师资格证书和会计专业领域有关证书，具有坚定的社会主义理想信念、有道德情操、有扎实学识、有仁爱之心，掌握财务会计、管理会计、会计信息化等方面的理论知识，具有一定的信息化教学能力和会计核算与监督实操能力，能够开展课程教学改革和行业科学研究，每 </w:t>
      </w:r>
      <w:r>
        <w:rPr>
          <w:rFonts w:hint="default" w:ascii="Times New Roman" w:hAnsi="Times New Roman" w:cs="Times New Roman"/>
        </w:rPr>
        <w:t>3</w:t>
      </w:r>
      <w:r>
        <w:rPr>
          <w:rFonts w:hint="eastAsia"/>
        </w:rPr>
        <w:t xml:space="preserve"> 年累计不少于 </w:t>
      </w:r>
      <w:r>
        <w:rPr>
          <w:rFonts w:hint="default" w:ascii="Times New Roman" w:hAnsi="Times New Roman" w:cs="Times New Roman"/>
        </w:rPr>
        <w:t>4</w:t>
      </w:r>
      <w:r>
        <w:rPr>
          <w:rFonts w:hint="eastAsia"/>
        </w:rPr>
        <w:t xml:space="preserve"> 个月的企业实践经历。</w:t>
      </w:r>
    </w:p>
    <w:p>
      <w:pPr>
        <w:bidi w:val="0"/>
      </w:pPr>
      <w:r>
        <w:rPr>
          <w:rFonts w:hint="default" w:ascii="Times New Roman" w:hAnsi="Times New Roman" w:cs="Times New Roman"/>
        </w:rPr>
        <w:t>3</w:t>
      </w:r>
      <w:r>
        <w:rPr>
          <w:rFonts w:hint="eastAsia"/>
        </w:rPr>
        <w:t>.兼职教师</w:t>
      </w:r>
    </w:p>
    <w:p>
      <w:pPr>
        <w:bidi w:val="0"/>
      </w:pPr>
      <w:r>
        <w:rPr>
          <w:rFonts w:hint="eastAsia"/>
        </w:rPr>
        <w:t>主要从会计相关企业聘任，具备良好的思想政治素质、职业道德和工匠精神，具有扎实的会计专业知识和丰富的实际工作经验，具有中级及以上相关专业职称，能承担专业课程教学、实习实训指导和学生职业发展规划指导等教学任务。通过学校的教学能力考核，具有本科学历、中级及以上职称，具备良好的思想政治素质、职业道德和工匠精神；具有扎实的会计专业知识和良好的职业素养， 在企业的财务会计一线岗位工作，能承担专业课程教学、实习实训指导、毕业设计指导和学生职业发展规划指导等教学任务。</w:t>
      </w:r>
    </w:p>
    <w:p>
      <w:pPr>
        <w:pStyle w:val="4"/>
        <w:bidi w:val="0"/>
      </w:pPr>
      <w:bookmarkStart w:id="3" w:name="_Toc46303728"/>
      <w:r>
        <w:t>（</w:t>
      </w:r>
      <w:r>
        <w:rPr>
          <w:rFonts w:hint="eastAsia"/>
        </w:rPr>
        <w:t>二</w:t>
      </w:r>
      <w:r>
        <w:t>）</w:t>
      </w:r>
      <w:r>
        <w:rPr>
          <w:rFonts w:hint="eastAsia"/>
        </w:rPr>
        <w:t>教学设施</w:t>
      </w:r>
      <w:bookmarkEnd w:id="3"/>
    </w:p>
    <w:p>
      <w:pPr>
        <w:bidi w:val="0"/>
      </w:pPr>
      <w:bookmarkStart w:id="4" w:name="_Toc407696165"/>
      <w:bookmarkStart w:id="5" w:name="_Toc405393407"/>
      <w:bookmarkStart w:id="6" w:name="_Toc407697923"/>
      <w:r>
        <w:rPr>
          <w:rFonts w:hint="default" w:ascii="Times New Roman" w:hAnsi="Times New Roman" w:cs="Times New Roman"/>
        </w:rPr>
        <w:t>1</w:t>
      </w:r>
      <w:r>
        <w:rPr>
          <w:rFonts w:hint="eastAsia"/>
        </w:rPr>
        <w:t>.专业教室基本条件</w:t>
      </w:r>
    </w:p>
    <w:p>
      <w:pPr>
        <w:bidi w:val="0"/>
      </w:pPr>
      <w:r>
        <w:rPr>
          <w:rFonts w:hint="eastAsia"/>
        </w:rPr>
        <w:t>配备黑（白）板、多媒体计算机、投影设备、音响设备，互联网接入或</w:t>
      </w:r>
      <w:r>
        <w:rPr>
          <w:rFonts w:hint="default" w:ascii="Times New Roman" w:hAnsi="Times New Roman" w:cs="Times New Roman"/>
        </w:rPr>
        <w:t>WiFi</w:t>
      </w:r>
      <w:r>
        <w:rPr>
          <w:rFonts w:hint="eastAsia"/>
        </w:rPr>
        <w:t xml:space="preserve"> 环境，并具有网络安全防护措施。安装应急照明装置并保持良好状态，符合紧急疏散要求、标志明显、保持逃生通道畅通无阻。</w:t>
      </w:r>
    </w:p>
    <w:p>
      <w:pPr>
        <w:bidi w:val="0"/>
      </w:pPr>
      <w:r>
        <w:rPr>
          <w:rFonts w:hint="default" w:ascii="Times New Roman" w:hAnsi="Times New Roman" w:cs="Times New Roman"/>
        </w:rPr>
        <w:t>2</w:t>
      </w:r>
      <w:r>
        <w:rPr>
          <w:rFonts w:hint="eastAsia"/>
        </w:rPr>
        <w:t>.校内实践教学条件</w:t>
      </w:r>
      <w:bookmarkEnd w:id="4"/>
      <w:bookmarkEnd w:id="5"/>
      <w:bookmarkEnd w:id="6"/>
    </w:p>
    <w:p>
      <w:pPr>
        <w:bidi w:val="0"/>
      </w:pPr>
      <w:r>
        <w:rPr>
          <w:rFonts w:hint="eastAsia"/>
        </w:rPr>
        <w:t>会计专业立足于技术技能型人才的培养，经过多年的不断努力，建成了财会手工模拟室、会计电算化实训室、</w:t>
      </w:r>
      <w:r>
        <w:rPr>
          <w:rFonts w:hint="default" w:ascii="Times New Roman" w:hAnsi="Times New Roman" w:cs="Times New Roman"/>
        </w:rPr>
        <w:t>ERP</w:t>
      </w:r>
      <w:r>
        <w:rPr>
          <w:rFonts w:hint="eastAsia"/>
        </w:rPr>
        <w:t>实训室、模拟企业经营与管理实训室等</w:t>
      </w:r>
      <w:r>
        <w:rPr>
          <w:rFonts w:hint="default" w:ascii="Times New Roman" w:hAnsi="Times New Roman" w:cs="Times New Roman"/>
        </w:rPr>
        <w:t>4</w:t>
      </w:r>
      <w:r>
        <w:rPr>
          <w:rFonts w:hint="eastAsia"/>
        </w:rPr>
        <w:t>个实训室。</w:t>
      </w:r>
    </w:p>
    <w:tbl>
      <w:tblPr>
        <w:tblStyle w:val="8"/>
        <w:tblW w:w="9154" w:type="dxa"/>
        <w:jc w:val="center"/>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Layout w:type="fixed"/>
        <w:tblCellMar>
          <w:top w:w="0" w:type="dxa"/>
          <w:left w:w="108" w:type="dxa"/>
          <w:bottom w:w="0" w:type="dxa"/>
          <w:right w:w="108" w:type="dxa"/>
        </w:tblCellMar>
      </w:tblPr>
      <w:tblGrid>
        <w:gridCol w:w="581"/>
        <w:gridCol w:w="1147"/>
        <w:gridCol w:w="900"/>
        <w:gridCol w:w="900"/>
        <w:gridCol w:w="1746"/>
        <w:gridCol w:w="918"/>
        <w:gridCol w:w="722"/>
        <w:gridCol w:w="2240"/>
      </w:tblGrid>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74" w:hRule="atLeast"/>
          <w:jc w:val="center"/>
        </w:trPr>
        <w:tc>
          <w:tcPr>
            <w:tcW w:w="9154" w:type="dxa"/>
            <w:gridSpan w:val="8"/>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b/>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 xml:space="preserve"> 校内</w:t>
            </w:r>
            <w:r>
              <w:rPr>
                <w:rFonts w:hint="eastAsia" w:ascii="仿宋_GB2312" w:hAnsi="仿宋_GB2312" w:eastAsia="仿宋_GB2312" w:cs="仿宋_GB2312"/>
                <w:b/>
                <w:bCs/>
                <w:color w:val="000000" w:themeColor="text1"/>
                <w:sz w:val="24"/>
                <w:szCs w:val="24"/>
                <w14:textFill>
                  <w14:solidFill>
                    <w14:schemeClr w14:val="tx1"/>
                  </w14:solidFill>
                </w14:textFill>
              </w:rPr>
              <w:t>实验、实训室情况</w:t>
            </w: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74" w:hRule="atLeast"/>
          <w:jc w:val="center"/>
        </w:trPr>
        <w:tc>
          <w:tcPr>
            <w:tcW w:w="58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序号</w:t>
            </w:r>
          </w:p>
        </w:tc>
        <w:tc>
          <w:tcPr>
            <w:tcW w:w="114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实验实训室名称</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现有建</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筑面积</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现有设</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备价值</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(万元)</w:t>
            </w:r>
          </w:p>
        </w:tc>
        <w:tc>
          <w:tcPr>
            <w:tcW w:w="338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现有主要设备</w:t>
            </w:r>
          </w:p>
        </w:tc>
        <w:tc>
          <w:tcPr>
            <w:tcW w:w="22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主要实训项目</w:t>
            </w: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74" w:hRule="atLeast"/>
          <w:jc w:val="center"/>
        </w:trPr>
        <w:tc>
          <w:tcPr>
            <w:tcW w:w="58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名   称</w:t>
            </w:r>
          </w:p>
        </w:tc>
        <w:tc>
          <w:tcPr>
            <w:tcW w:w="91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单价</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(万元)</w:t>
            </w:r>
          </w:p>
        </w:tc>
        <w:tc>
          <w:tcPr>
            <w:tcW w:w="72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台套数</w:t>
            </w:r>
          </w:p>
        </w:tc>
        <w:tc>
          <w:tcPr>
            <w:tcW w:w="2240" w:type="dxa"/>
            <w:vMerge w:val="continue"/>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13" w:hRule="atLeast"/>
          <w:jc w:val="center"/>
        </w:trPr>
        <w:tc>
          <w:tcPr>
            <w:tcW w:w="581"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1147"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财会手工模拟室</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100</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w:t>
            </w: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点钞机</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2</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2240" w:type="dxa"/>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会计手工做账</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80"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做帐工具</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72</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81"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做帐工具</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72</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556"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会计教学软件（</w:t>
            </w:r>
            <w:r>
              <w:rPr>
                <w:rFonts w:hint="default" w:ascii="Times New Roman" w:hAnsi="Times New Roman" w:eastAsia="仿宋_GB2312" w:cs="Times New Roman"/>
                <w:color w:val="000000" w:themeColor="text1"/>
                <w:sz w:val="24"/>
                <w:szCs w:val="24"/>
                <w14:textFill>
                  <w14:solidFill>
                    <w14:schemeClr w14:val="tx1"/>
                  </w14:solidFill>
                </w14:textFill>
              </w:rPr>
              <w:t>U8</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72</w:t>
            </w:r>
            <w:r>
              <w:rPr>
                <w:rFonts w:hint="eastAsia" w:ascii="仿宋_GB2312" w:hAnsi="仿宋_GB2312" w:eastAsia="仿宋_GB2312" w:cs="仿宋_GB2312"/>
                <w:color w:val="000000" w:themeColor="text1"/>
                <w:sz w:val="24"/>
                <w:szCs w:val="24"/>
                <w14:textFill>
                  <w14:solidFill>
                    <w14:schemeClr w14:val="tx1"/>
                  </w14:solidFill>
                </w14:textFill>
              </w:rPr>
              <w:t>）</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412" w:hRule="atLeast"/>
          <w:jc w:val="center"/>
        </w:trPr>
        <w:tc>
          <w:tcPr>
            <w:tcW w:w="581"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w:t>
            </w:r>
          </w:p>
        </w:tc>
        <w:tc>
          <w:tcPr>
            <w:tcW w:w="1147"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会计电算化实训室</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100</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50</w:t>
            </w: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学生电脑</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70</w:t>
            </w:r>
          </w:p>
        </w:tc>
        <w:tc>
          <w:tcPr>
            <w:tcW w:w="2240" w:type="dxa"/>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.财务处理</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14:textFill>
                  <w14:solidFill>
                    <w14:schemeClr w14:val="tx1"/>
                  </w14:solidFill>
                </w14:textFill>
              </w:rPr>
              <w:t>.工资管理</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14:textFill>
                  <w14:solidFill>
                    <w14:schemeClr w14:val="tx1"/>
                  </w14:solidFill>
                </w14:textFill>
              </w:rPr>
              <w:t>.固定资产管理</w:t>
            </w: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621"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会计教学软件（</w:t>
            </w:r>
            <w:r>
              <w:rPr>
                <w:rFonts w:hint="default" w:ascii="Times New Roman" w:hAnsi="Times New Roman" w:eastAsia="仿宋_GB2312" w:cs="Times New Roman"/>
                <w:color w:val="000000" w:themeColor="text1"/>
                <w:sz w:val="24"/>
                <w:szCs w:val="24"/>
                <w14:textFill>
                  <w14:solidFill>
                    <w14:schemeClr w14:val="tx1"/>
                  </w14:solidFill>
                </w14:textFill>
              </w:rPr>
              <w:t>U8</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72</w:t>
            </w:r>
            <w:r>
              <w:rPr>
                <w:rFonts w:hint="eastAsia" w:ascii="仿宋_GB2312" w:hAnsi="仿宋_GB2312" w:eastAsia="仿宋_GB2312" w:cs="仿宋_GB2312"/>
                <w:color w:val="000000" w:themeColor="text1"/>
                <w:sz w:val="24"/>
                <w:szCs w:val="24"/>
                <w14:textFill>
                  <w14:solidFill>
                    <w14:schemeClr w14:val="tx1"/>
                  </w14:solidFill>
                </w14:textFill>
              </w:rPr>
              <w:t>）</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34"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投影仪设备一套</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34"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会计教学软件</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教师机</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19" w:hRule="atLeast"/>
          <w:jc w:val="center"/>
        </w:trPr>
        <w:tc>
          <w:tcPr>
            <w:tcW w:w="581"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3</w:t>
            </w:r>
          </w:p>
        </w:tc>
        <w:tc>
          <w:tcPr>
            <w:tcW w:w="1147"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ERP</w:t>
            </w:r>
            <w:r>
              <w:rPr>
                <w:rFonts w:hint="eastAsia" w:ascii="仿宋_GB2312" w:hAnsi="仿宋_GB2312" w:eastAsia="仿宋_GB2312" w:cs="仿宋_GB2312"/>
                <w:color w:val="000000" w:themeColor="text1"/>
                <w:sz w:val="24"/>
                <w:szCs w:val="24"/>
                <w14:textFill>
                  <w14:solidFill>
                    <w14:schemeClr w14:val="tx1"/>
                  </w14:solidFill>
                </w14:textFill>
              </w:rPr>
              <w:t>实训室（</w:t>
            </w:r>
            <w:r>
              <w:rPr>
                <w:rFonts w:hint="default" w:ascii="Times New Roman" w:hAnsi="Times New Roman" w:eastAsia="仿宋_GB2312" w:cs="Times New Roman"/>
                <w:color w:val="000000" w:themeColor="text1"/>
                <w:sz w:val="24"/>
                <w:szCs w:val="24"/>
                <w14:textFill>
                  <w14:solidFill>
                    <w14:schemeClr w14:val="tx1"/>
                  </w14:solidFill>
                </w14:textFill>
              </w:rPr>
              <w:t>U10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150</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55</w:t>
            </w: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学生电脑</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60</w:t>
            </w:r>
          </w:p>
        </w:tc>
        <w:tc>
          <w:tcPr>
            <w:tcW w:w="2240" w:type="dxa"/>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ERP</w:t>
            </w:r>
            <w:r>
              <w:rPr>
                <w:rFonts w:hint="eastAsia" w:ascii="仿宋_GB2312" w:hAnsi="仿宋_GB2312" w:eastAsia="仿宋_GB2312" w:cs="仿宋_GB2312"/>
                <w:color w:val="000000" w:themeColor="text1"/>
                <w:sz w:val="24"/>
                <w:szCs w:val="24"/>
                <w14:textFill>
                  <w14:solidFill>
                    <w14:schemeClr w14:val="tx1"/>
                  </w14:solidFill>
                </w14:textFill>
              </w:rPr>
              <w:t>实训</w:t>
            </w: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19"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投影仪设备一套</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289"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会计教学软件</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49"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教师机</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74" w:hRule="atLeast"/>
          <w:jc w:val="center"/>
        </w:trPr>
        <w:tc>
          <w:tcPr>
            <w:tcW w:w="581"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4</w:t>
            </w:r>
          </w:p>
        </w:tc>
        <w:tc>
          <w:tcPr>
            <w:tcW w:w="1147"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模拟企业经营与管理实训室</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100</w:t>
            </w:r>
          </w:p>
        </w:tc>
        <w:tc>
          <w:tcPr>
            <w:tcW w:w="900"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30</w:t>
            </w: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物理和电子沙盘</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沙盘实训</w:t>
            </w: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74"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学生电脑</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none" w:color="auto" w:sz="0" w:space="0"/>
          </w:tblBorders>
          <w:tblCellMar>
            <w:top w:w="0" w:type="dxa"/>
            <w:left w:w="108" w:type="dxa"/>
            <w:bottom w:w="0" w:type="dxa"/>
            <w:right w:w="108" w:type="dxa"/>
          </w:tblCellMar>
        </w:tblPrEx>
        <w:trPr>
          <w:trHeight w:val="374" w:hRule="atLeast"/>
          <w:jc w:val="center"/>
        </w:trPr>
        <w:tc>
          <w:tcPr>
            <w:tcW w:w="581"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14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90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c>
          <w:tcPr>
            <w:tcW w:w="1746"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教师</w:t>
            </w:r>
          </w:p>
        </w:tc>
        <w:tc>
          <w:tcPr>
            <w:tcW w:w="91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0</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7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2240" w:type="dxa"/>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auto"/>
              <w:rPr>
                <w:rFonts w:hint="eastAsia" w:ascii="仿宋_GB2312" w:hAnsi="仿宋_GB2312" w:eastAsia="仿宋_GB2312" w:cs="仿宋_GB2312"/>
                <w:color w:val="000000" w:themeColor="text1"/>
                <w:sz w:val="24"/>
                <w:szCs w:val="24"/>
                <w14:textFill>
                  <w14:solidFill>
                    <w14:schemeClr w14:val="tx1"/>
                  </w14:solidFill>
                </w14:textFill>
              </w:rPr>
            </w:pPr>
          </w:p>
        </w:tc>
      </w:tr>
    </w:tbl>
    <w:p>
      <w:pPr>
        <w:pStyle w:val="3"/>
        <w:bidi w:val="0"/>
      </w:pPr>
      <w:r>
        <w:rPr>
          <w:rFonts w:hint="eastAsia"/>
        </w:rPr>
        <w:t>七、教学计划进程表</w:t>
      </w:r>
    </w:p>
    <w:tbl>
      <w:tblPr>
        <w:tblStyle w:val="8"/>
        <w:tblpPr w:leftFromText="180" w:rightFromText="180" w:vertAnchor="text" w:horzAnchor="page" w:tblpX="1315" w:tblpY="156"/>
        <w:tblOverlap w:val="never"/>
        <w:tblW w:w="868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167"/>
        <w:gridCol w:w="1539"/>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16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539"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16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539"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16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539"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74"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仿宋_GB2312" w:cs="Times New Roman"/>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D022326J01</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宋体" w:eastAsia="仿宋_GB2312"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4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167" w:type="dxa"/>
            <w:tcBorders>
              <w:tl2br w:val="nil"/>
              <w:tr2bl w:val="nil"/>
            </w:tcBorders>
            <w:vAlign w:val="center"/>
          </w:tcPr>
          <w:tbl>
            <w:tblPr>
              <w:tblStyle w:val="8"/>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高等数学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167" w:type="dxa"/>
            <w:tcBorders>
              <w:tl2br w:val="nil"/>
              <w:tr2bl w:val="nil"/>
            </w:tcBorders>
            <w:vAlign w:val="center"/>
          </w:tcPr>
          <w:tbl>
            <w:tblPr>
              <w:tblStyle w:val="8"/>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line="240" w:lineRule="auto"/>
                    <w:ind w:left="0" w:leftChars="0" w:right="-390" w:rightChars="-1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128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71"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jc w:val="center"/>
              <w:rPr>
                <w:rFonts w:ascii="Times New Roman" w:hAnsi="宋体" w:eastAsia="宋体" w:cs="Times New Roman"/>
                <w:kern w:val="2"/>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167" w:type="dxa"/>
            <w:tcBorders>
              <w:tl2br w:val="nil"/>
              <w:tr2bl w:val="nil"/>
            </w:tcBorders>
            <w:vAlign w:val="center"/>
          </w:tcPr>
          <w:p>
            <w:pPr>
              <w:keepNext w:val="0"/>
              <w:keepLines w:val="0"/>
              <w:pageBreakBefore w:val="0"/>
              <w:widowControl/>
              <w:wordWrap/>
              <w:overflowPunct/>
              <w:topLinePunct w:val="0"/>
              <w:autoSpaceDE/>
              <w:autoSpaceDN/>
              <w:bidi w:val="0"/>
              <w:spacing w:line="240" w:lineRule="exact"/>
              <w:ind w:firstLine="0" w:firstLineChars="0"/>
              <w:rPr>
                <w:rFonts w:ascii="Times New Roman" w:hAnsi="宋体" w:eastAsia="宋体" w:cs="Times New Roman"/>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D022326J02</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D530302J16</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概率论与数理统计</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专业课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D530302J01</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基础会计</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D530302J02</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初级会计*</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D530701J03</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管理学基础</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D530302J04</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微观经济学</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D530302J05</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经济法</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D530302J06</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中级财务会计*</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D530302J17</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企业纳税实训*</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D530302J18</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成本计算与管理方法</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D530302J19</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会计信息管理系统运用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D530302J10</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财务管理*</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22</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D530302J20</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ACCESS</w:t>
            </w:r>
            <w:r>
              <w:rPr>
                <w:rFonts w:hint="eastAsia" w:ascii="宋体" w:hAnsi="宋体" w:eastAsia="宋体" w:cs="宋体"/>
                <w:i w:val="0"/>
                <w:iCs w:val="0"/>
                <w:snapToGrid w:val="0"/>
                <w:color w:val="000000"/>
                <w:kern w:val="0"/>
                <w:sz w:val="18"/>
                <w:szCs w:val="18"/>
                <w:u w:val="none"/>
                <w:lang w:val="en-US" w:eastAsia="zh-CN" w:bidi="ar"/>
              </w:rPr>
              <w:t>数据库技术</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23</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D530302J21</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财务审计基础与操作实务*</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3"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24</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D530302J13</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Excel</w:t>
            </w:r>
            <w:r>
              <w:rPr>
                <w:rFonts w:hint="eastAsia" w:ascii="宋体" w:hAnsi="宋体" w:eastAsia="宋体" w:cs="宋体"/>
                <w:i w:val="0"/>
                <w:iCs w:val="0"/>
                <w:snapToGrid w:val="0"/>
                <w:color w:val="000000"/>
                <w:kern w:val="0"/>
                <w:sz w:val="18"/>
                <w:szCs w:val="18"/>
                <w:u w:val="none"/>
                <w:lang w:val="en-US" w:eastAsia="zh-CN" w:bidi="ar"/>
              </w:rPr>
              <w:t>在会计中的应用*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kern w:val="2"/>
                <w:sz w:val="18"/>
                <w:szCs w:val="18"/>
                <w:lang w:val="en-US" w:eastAsia="zh-CN" w:bidi="ar-SA"/>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kern w:val="2"/>
                <w:sz w:val="18"/>
                <w:szCs w:val="18"/>
                <w:lang w:val="en-US" w:eastAsia="zh-CN" w:bidi="ar-SA"/>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3"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25</w:t>
            </w:r>
          </w:p>
        </w:tc>
        <w:tc>
          <w:tcPr>
            <w:tcW w:w="1167"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539"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26</w:t>
            </w:r>
          </w:p>
        </w:tc>
        <w:tc>
          <w:tcPr>
            <w:tcW w:w="1167"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D530302J22</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ERP</w:t>
            </w:r>
            <w:r>
              <w:rPr>
                <w:rFonts w:hint="eastAsia" w:ascii="宋体" w:hAnsi="宋体" w:eastAsia="宋体" w:cs="宋体"/>
                <w:i w:val="0"/>
                <w:iCs w:val="0"/>
                <w:snapToGrid w:val="0"/>
                <w:color w:val="000000"/>
                <w:kern w:val="0"/>
                <w:sz w:val="18"/>
                <w:szCs w:val="18"/>
                <w:u w:val="none"/>
                <w:lang w:val="en-US" w:eastAsia="zh-CN" w:bidi="ar"/>
              </w:rPr>
              <w:t>实训</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bookmarkStart w:id="7" w:name="_GoBack" w:colFirst="2" w:colLast="17"/>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27</w:t>
            </w:r>
          </w:p>
        </w:tc>
        <w:tc>
          <w:tcPr>
            <w:tcW w:w="1167"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53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28</w:t>
            </w:r>
          </w:p>
        </w:tc>
        <w:tc>
          <w:tcPr>
            <w:tcW w:w="1167" w:type="dxa"/>
            <w:tcBorders>
              <w:tl2br w:val="nil"/>
              <w:tr2bl w:val="nil"/>
            </w:tcBorders>
            <w:shd w:val="clear" w:color="auto" w:fill="auto"/>
            <w:vAlign w:val="center"/>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53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bookmarkEnd w:id="7"/>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29</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D022326J18</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hAnsi="宋体" w:eastAsia="宋体" w:cs="Times New Roman"/>
                <w:b/>
                <w:bCs/>
                <w:kern w:val="2"/>
                <w:sz w:val="18"/>
                <w:szCs w:val="18"/>
                <w:lang w:val="en-US" w:eastAsia="zh-CN" w:bidi="ar-SA"/>
              </w:rPr>
              <w:t>30</w:t>
            </w:r>
          </w:p>
        </w:tc>
        <w:tc>
          <w:tcPr>
            <w:tcW w:w="1167"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D022326J19</w:t>
            </w:r>
          </w:p>
        </w:tc>
        <w:tc>
          <w:tcPr>
            <w:tcW w:w="1539"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毕业设计（周）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800"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105</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1344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336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306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388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356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372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208</w:t>
            </w:r>
          </w:p>
        </w:tc>
        <w:tc>
          <w:tcPr>
            <w:tcW w:w="1147" w:type="dxa"/>
            <w:gridSpan w:val="3"/>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val="0"/>
              <w:spacing w:line="240" w:lineRule="exact"/>
              <w:ind w:firstLine="0" w:firstLineChars="0"/>
              <w:jc w:val="center"/>
              <w:rPr>
                <w:rFonts w:ascii="Times New Roman" w:hAnsi="宋体"/>
                <w:b/>
                <w:bCs/>
                <w:sz w:val="18"/>
                <w:szCs w:val="18"/>
              </w:rPr>
            </w:pPr>
          </w:p>
          <w:p>
            <w:pPr>
              <w:keepNext w:val="0"/>
              <w:keepLines w:val="0"/>
              <w:pageBreakBefore w:val="0"/>
              <w:kinsoku/>
              <w:wordWrap/>
              <w:overflowPunct/>
              <w:topLinePunct w:val="0"/>
              <w:autoSpaceDE/>
              <w:autoSpaceDN/>
              <w:bidi w:val="0"/>
              <w:adjustRightInd/>
              <w:snapToGrid w:val="0"/>
              <w:spacing w:line="240" w:lineRule="exact"/>
              <w:ind w:firstLine="0" w:firstLineChars="0"/>
              <w:jc w:val="center"/>
              <w:rPr>
                <w:rFonts w:ascii="Times New Roman" w:hAnsi="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trPr>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20.0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18.2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21.2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23.1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21.2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22.1</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12.4</w:t>
            </w:r>
          </w:p>
        </w:tc>
        <w:tc>
          <w:tcPr>
            <w:tcW w:w="1147" w:type="dxa"/>
            <w:gridSpan w:val="3"/>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bl>
    <w:p>
      <w:pPr>
        <w:widowControl/>
        <w:numPr>
          <w:ilvl w:val="255"/>
          <w:numId w:val="0"/>
        </w:numPr>
        <w:spacing w:line="560" w:lineRule="exact"/>
        <w:ind w:firstLine="321" w:firstLineChars="100"/>
        <w:jc w:val="left"/>
        <w:rPr>
          <w:rFonts w:ascii="Times New Roman" w:hAnsi="宋体"/>
          <w:b/>
          <w:bCs/>
          <w:szCs w:val="21"/>
        </w:rPr>
      </w:pPr>
    </w:p>
    <w:p>
      <w:pPr>
        <w:widowControl/>
        <w:numPr>
          <w:ilvl w:val="255"/>
          <w:numId w:val="0"/>
        </w:numPr>
        <w:spacing w:line="560" w:lineRule="exact"/>
        <w:ind w:firstLine="321" w:firstLineChars="100"/>
        <w:jc w:val="left"/>
        <w:rPr>
          <w:rFonts w:ascii="Times New Roman" w:hAnsi="宋体"/>
          <w:b/>
          <w:bCs/>
          <w:szCs w:val="21"/>
        </w:rPr>
      </w:pPr>
      <w:r>
        <w:rPr>
          <w:rFonts w:ascii="Times New Roman" w:hAnsi="宋体"/>
          <w:b/>
          <w:bCs/>
          <w:szCs w:val="21"/>
        </w:rPr>
        <w:t>备注：</w:t>
      </w:r>
    </w:p>
    <w:p>
      <w:pPr>
        <w:widowControl/>
        <w:numPr>
          <w:ilvl w:val="255"/>
          <w:numId w:val="0"/>
        </w:numPr>
        <w:spacing w:line="560" w:lineRule="exact"/>
        <w:ind w:firstLine="1152" w:firstLineChars="360"/>
        <w:jc w:val="left"/>
        <w:rPr>
          <w:rFonts w:hint="eastAsia" w:ascii="Times New Roman" w:hAnsi="宋体" w:cs="Times New Roman"/>
          <w:bCs/>
        </w:rPr>
      </w:pPr>
      <w:r>
        <w:rPr>
          <w:rFonts w:hint="default" w:ascii="Times New Roman" w:hAnsi="Times New Roman" w:cs="Times New Roman"/>
          <w:bCs/>
        </w:rPr>
        <w:t>1</w:t>
      </w:r>
      <w:r>
        <w:rPr>
          <w:rFonts w:hint="eastAsia" w:ascii="Times New Roman" w:hAnsi="宋体"/>
          <w:bCs/>
        </w:rPr>
        <w:t>.课程类别</w:t>
      </w:r>
      <w:r>
        <w:rPr>
          <w:rFonts w:hint="eastAsia" w:ascii="Times New Roman" w:hAnsi="宋体" w:cs="Times New Roman"/>
          <w:bCs/>
        </w:rPr>
        <w:t>：高校也可根据实际情况自行确定课程分类。</w:t>
      </w:r>
    </w:p>
    <w:p>
      <w:pPr>
        <w:widowControl/>
        <w:numPr>
          <w:ilvl w:val="255"/>
          <w:numId w:val="0"/>
        </w:numPr>
        <w:spacing w:line="560" w:lineRule="exact"/>
        <w:ind w:firstLine="1152" w:firstLineChars="360"/>
        <w:jc w:val="left"/>
        <w:rPr>
          <w:rFonts w:hint="eastAsia" w:ascii="Times New Roman" w:hAnsi="宋体"/>
          <w:bCs/>
        </w:rPr>
      </w:pPr>
      <w:r>
        <w:rPr>
          <w:rFonts w:hint="default" w:ascii="Times New Roman" w:hAnsi="Times New Roman" w:cs="Times New Roman"/>
          <w:bCs/>
        </w:rPr>
        <w:t>2</w:t>
      </w:r>
      <w:r>
        <w:rPr>
          <w:rFonts w:hint="eastAsia" w:ascii="Times New Roman" w:hAnsi="宋体"/>
          <w:bCs/>
        </w:rPr>
        <w:t>.学分与学时换算，按照</w:t>
      </w:r>
      <w:r>
        <w:rPr>
          <w:rFonts w:hint="default" w:ascii="Times New Roman" w:hAnsi="Times New Roman" w:cs="Times New Roman"/>
          <w:bCs/>
        </w:rPr>
        <w:t>1</w:t>
      </w:r>
      <w:r>
        <w:rPr>
          <w:rFonts w:hint="eastAsia" w:ascii="Times New Roman" w:hAnsi="宋体"/>
          <w:bCs/>
        </w:rPr>
        <w:t>学分</w:t>
      </w:r>
      <w:r>
        <w:rPr>
          <w:rFonts w:hint="default" w:ascii="Times New Roman" w:hAnsi="Times New Roman" w:cs="Times New Roman"/>
          <w:bCs/>
        </w:rPr>
        <w:t>16</w:t>
      </w:r>
      <w:r>
        <w:rPr>
          <w:rFonts w:hint="eastAsia" w:ascii="Times New Roman" w:hAnsi="宋体"/>
          <w:bCs/>
        </w:rPr>
        <w:t>—</w:t>
      </w:r>
      <w:r>
        <w:rPr>
          <w:rFonts w:hint="default" w:ascii="Times New Roman" w:hAnsi="Times New Roman" w:cs="Times New Roman"/>
          <w:bCs/>
        </w:rPr>
        <w:t>18</w:t>
      </w:r>
      <w:r>
        <w:rPr>
          <w:rFonts w:hint="eastAsia" w:ascii="Times New Roman" w:hAnsi="宋体"/>
          <w:bCs/>
        </w:rPr>
        <w:t>学时进行换算。</w:t>
      </w:r>
    </w:p>
    <w:p>
      <w:pPr>
        <w:widowControl/>
        <w:numPr>
          <w:ilvl w:val="255"/>
          <w:numId w:val="0"/>
        </w:numPr>
        <w:spacing w:line="560" w:lineRule="exact"/>
        <w:ind w:firstLine="1152" w:firstLineChars="360"/>
        <w:jc w:val="left"/>
        <w:rPr>
          <w:rFonts w:ascii="Times New Roman" w:hAnsi="宋体"/>
          <w:bCs/>
        </w:rPr>
      </w:pPr>
      <w:r>
        <w:rPr>
          <w:rFonts w:hint="default" w:ascii="Times New Roman" w:hAnsi="Times New Roman" w:cs="Times New Roman"/>
          <w:bCs/>
        </w:rPr>
        <w:t>3</w:t>
      </w:r>
      <w:r>
        <w:rPr>
          <w:rFonts w:hint="eastAsia" w:ascii="Times New Roman" w:hAnsi="宋体"/>
          <w:bCs/>
        </w:rPr>
        <w:t>.请在考核方式中选择“</w:t>
      </w:r>
      <w:r>
        <w:rPr>
          <w:rFonts w:ascii="Times New Roman" w:hAnsi="宋体"/>
          <w:bCs/>
        </w:rPr>
        <w:t>√</w:t>
      </w:r>
      <w:r>
        <w:rPr>
          <w:rFonts w:hint="eastAsia" w:ascii="Times New Roman" w:hAnsi="宋体"/>
          <w:bCs/>
        </w:rPr>
        <w:t>”填写。</w:t>
      </w:r>
    </w:p>
    <w:p>
      <w:pPr>
        <w:rPr>
          <w:rFonts w:hint="eastAsia"/>
        </w:rPr>
      </w:pPr>
      <w:r>
        <w:rPr>
          <w:rFonts w:hint="eastAsia"/>
        </w:rPr>
        <w:br w:type="page"/>
      </w:r>
    </w:p>
    <w:p>
      <w:pPr>
        <w:pStyle w:val="2"/>
        <w:rPr>
          <w:rFonts w:hint="eastAsia"/>
        </w:rPr>
      </w:pPr>
    </w:p>
    <w:sectPr>
      <w:pgSz w:w="11906" w:h="16838"/>
      <w:pgMar w:top="2098" w:right="1474" w:bottom="1984" w:left="1587" w:header="851" w:footer="992" w:gutter="0"/>
      <w:cols w:space="0" w:num="1"/>
      <w:rtlGutter w:val="0"/>
      <w:docGrid w:type="line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066AD2"/>
    <w:multiLevelType w:val="singleLevel"/>
    <w:tmpl w:val="E0066AD2"/>
    <w:lvl w:ilvl="0" w:tentative="0">
      <w:start w:val="1"/>
      <w:numFmt w:val="decimal"/>
      <w:suff w:val="nothing"/>
      <w:lvlText w:val="（%1）"/>
      <w:lvlJc w:val="left"/>
    </w:lvl>
  </w:abstractNum>
  <w:abstractNum w:abstractNumId="1">
    <w:nsid w:val="3B8C4AE1"/>
    <w:multiLevelType w:val="singleLevel"/>
    <w:tmpl w:val="3B8C4AE1"/>
    <w:lvl w:ilvl="0" w:tentative="0">
      <w:start w:val="1"/>
      <w:numFmt w:val="decimal"/>
      <w:lvlText w:val="%1."/>
      <w:lvlJc w:val="left"/>
      <w:pPr>
        <w:tabs>
          <w:tab w:val="left" w:pos="312"/>
        </w:tabs>
      </w:pPr>
    </w:lvl>
  </w:abstractNum>
  <w:abstractNum w:abstractNumId="2">
    <w:nsid w:val="77AE892B"/>
    <w:multiLevelType w:val="singleLevel"/>
    <w:tmpl w:val="77AE892B"/>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22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ODYwYjBkYTJiZTNlYTYwOTdiOTUxODJjYzJmZGYifQ=="/>
  </w:docVars>
  <w:rsids>
    <w:rsidRoot w:val="6F7B0B99"/>
    <w:rsid w:val="000558BF"/>
    <w:rsid w:val="000834E5"/>
    <w:rsid w:val="000E6A46"/>
    <w:rsid w:val="000F677B"/>
    <w:rsid w:val="001448D6"/>
    <w:rsid w:val="00157EE7"/>
    <w:rsid w:val="0017245A"/>
    <w:rsid w:val="001A7A92"/>
    <w:rsid w:val="001D6843"/>
    <w:rsid w:val="001D7915"/>
    <w:rsid w:val="002079F9"/>
    <w:rsid w:val="0022168B"/>
    <w:rsid w:val="0023593C"/>
    <w:rsid w:val="002F4952"/>
    <w:rsid w:val="002F5A8E"/>
    <w:rsid w:val="00357D4C"/>
    <w:rsid w:val="00370593"/>
    <w:rsid w:val="003728B4"/>
    <w:rsid w:val="00427C17"/>
    <w:rsid w:val="004B71AE"/>
    <w:rsid w:val="004C3C86"/>
    <w:rsid w:val="004C3CB8"/>
    <w:rsid w:val="004E3162"/>
    <w:rsid w:val="004F7819"/>
    <w:rsid w:val="00531909"/>
    <w:rsid w:val="005B438A"/>
    <w:rsid w:val="005C23B0"/>
    <w:rsid w:val="005E7E58"/>
    <w:rsid w:val="00602E90"/>
    <w:rsid w:val="0063362C"/>
    <w:rsid w:val="00634F38"/>
    <w:rsid w:val="00684E02"/>
    <w:rsid w:val="00685ADC"/>
    <w:rsid w:val="006C19B5"/>
    <w:rsid w:val="006C6464"/>
    <w:rsid w:val="006E247C"/>
    <w:rsid w:val="006F20F1"/>
    <w:rsid w:val="00704BEF"/>
    <w:rsid w:val="007C3184"/>
    <w:rsid w:val="008A23A2"/>
    <w:rsid w:val="008B17C6"/>
    <w:rsid w:val="008B36E2"/>
    <w:rsid w:val="008E37F2"/>
    <w:rsid w:val="009162BF"/>
    <w:rsid w:val="009752E8"/>
    <w:rsid w:val="009878F1"/>
    <w:rsid w:val="009F08B5"/>
    <w:rsid w:val="00A02EAD"/>
    <w:rsid w:val="00A050B7"/>
    <w:rsid w:val="00A641A4"/>
    <w:rsid w:val="00AE686F"/>
    <w:rsid w:val="00BF26CD"/>
    <w:rsid w:val="00C00CDA"/>
    <w:rsid w:val="00C15C75"/>
    <w:rsid w:val="00C379E5"/>
    <w:rsid w:val="00C72940"/>
    <w:rsid w:val="00C8107C"/>
    <w:rsid w:val="00CB27BB"/>
    <w:rsid w:val="00CB6D22"/>
    <w:rsid w:val="00CE402E"/>
    <w:rsid w:val="00D041B2"/>
    <w:rsid w:val="00D316CC"/>
    <w:rsid w:val="00D772DC"/>
    <w:rsid w:val="00D95A59"/>
    <w:rsid w:val="00DC3FBA"/>
    <w:rsid w:val="00E049FC"/>
    <w:rsid w:val="00F07C1C"/>
    <w:rsid w:val="00F1712D"/>
    <w:rsid w:val="00F70E56"/>
    <w:rsid w:val="00FA3248"/>
    <w:rsid w:val="01BF388E"/>
    <w:rsid w:val="01FA6B1B"/>
    <w:rsid w:val="03095A8B"/>
    <w:rsid w:val="0AA16587"/>
    <w:rsid w:val="0C9E3100"/>
    <w:rsid w:val="11CC26CF"/>
    <w:rsid w:val="13A26BCA"/>
    <w:rsid w:val="22356F33"/>
    <w:rsid w:val="228B4022"/>
    <w:rsid w:val="23145239"/>
    <w:rsid w:val="2540128E"/>
    <w:rsid w:val="2B7D48CB"/>
    <w:rsid w:val="2BB20096"/>
    <w:rsid w:val="2C291E4A"/>
    <w:rsid w:val="2E932883"/>
    <w:rsid w:val="3707289B"/>
    <w:rsid w:val="37657FE1"/>
    <w:rsid w:val="37CF73EE"/>
    <w:rsid w:val="3B2F18BC"/>
    <w:rsid w:val="3C4165AB"/>
    <w:rsid w:val="41BC7B8F"/>
    <w:rsid w:val="438E53A5"/>
    <w:rsid w:val="4C2D18F1"/>
    <w:rsid w:val="4D041C41"/>
    <w:rsid w:val="53430777"/>
    <w:rsid w:val="5EA5599C"/>
    <w:rsid w:val="62765EAF"/>
    <w:rsid w:val="67987117"/>
    <w:rsid w:val="6F2E7289"/>
    <w:rsid w:val="6F7B0B99"/>
    <w:rsid w:val="71CA7BA9"/>
    <w:rsid w:val="76191E63"/>
    <w:rsid w:val="78B729C3"/>
    <w:rsid w:val="7E785113"/>
    <w:rsid w:val="7FA20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420" w:firstLineChars="200"/>
      <w:jc w:val="left"/>
    </w:pPr>
    <w:rPr>
      <w:rFonts w:ascii="Times New Roman" w:hAnsi="Times New Roman" w:eastAsia="仿宋_GB2312" w:cs="Times New Roman"/>
      <w:kern w:val="2"/>
      <w:sz w:val="32"/>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40" w:lineRule="exact"/>
      <w:ind w:firstLine="0" w:firstLineChars="0"/>
      <w:outlineLvl w:val="0"/>
    </w:pPr>
    <w:rPr>
      <w:rFonts w:eastAsia="黑体"/>
      <w:kern w:val="44"/>
      <w:sz w:val="32"/>
    </w:rPr>
  </w:style>
  <w:style w:type="paragraph" w:styleId="4">
    <w:name w:val="heading 2"/>
    <w:basedOn w:val="1"/>
    <w:next w:val="1"/>
    <w:autoRedefine/>
    <w:unhideWhenUsed/>
    <w:qFormat/>
    <w:uiPriority w:val="0"/>
    <w:pPr>
      <w:keepNext/>
      <w:keepLines/>
      <w:spacing w:beforeLines="0" w:beforeAutospacing="0" w:afterLines="0" w:afterAutospacing="0" w:line="640" w:lineRule="exact"/>
      <w:ind w:firstLine="0" w:firstLineChars="0"/>
      <w:outlineLvl w:val="1"/>
    </w:pPr>
    <w:rPr>
      <w:rFonts w:ascii="Arial" w:hAnsi="Arial" w:eastAsia="楷体_GB2312"/>
      <w:b/>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pPr>
    <w:rPr>
      <w:sz w:val="18"/>
      <w:szCs w:val="18"/>
    </w:rPr>
  </w:style>
  <w:style w:type="paragraph" w:styleId="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customStyle="1" w:styleId="10">
    <w:name w:val="页眉 字符"/>
    <w:basedOn w:val="9"/>
    <w:link w:val="6"/>
    <w:autoRedefine/>
    <w:qFormat/>
    <w:uiPriority w:val="0"/>
    <w:rPr>
      <w:kern w:val="2"/>
      <w:sz w:val="18"/>
      <w:szCs w:val="18"/>
    </w:rPr>
  </w:style>
  <w:style w:type="character" w:customStyle="1" w:styleId="11">
    <w:name w:val="页脚 字符"/>
    <w:basedOn w:val="9"/>
    <w:link w:val="5"/>
    <w:autoRedefine/>
    <w:qFormat/>
    <w:uiPriority w:val="0"/>
    <w:rPr>
      <w:kern w:val="2"/>
      <w:sz w:val="18"/>
      <w:szCs w:val="18"/>
    </w:rPr>
  </w:style>
  <w:style w:type="paragraph" w:styleId="12">
    <w:name w:val="List Paragraph"/>
    <w:basedOn w:val="1"/>
    <w:autoRedefine/>
    <w:qFormat/>
    <w:uiPriority w:val="1"/>
    <w:pPr>
      <w:ind w:firstLine="420" w:firstLineChars="200"/>
    </w:pPr>
  </w:style>
  <w:style w:type="character" w:customStyle="1" w:styleId="13">
    <w:name w:val="font51"/>
    <w:basedOn w:val="9"/>
    <w:autoRedefine/>
    <w:qFormat/>
    <w:uiPriority w:val="0"/>
    <w:rPr>
      <w:rFonts w:hint="eastAsia" w:ascii="宋体" w:hAnsi="宋体" w:eastAsia="宋体" w:cs="宋体"/>
      <w:color w:val="000000"/>
      <w:sz w:val="15"/>
      <w:szCs w:val="15"/>
      <w:u w:val="none"/>
    </w:rPr>
  </w:style>
  <w:style w:type="character" w:customStyle="1" w:styleId="14">
    <w:name w:val="font71"/>
    <w:basedOn w:val="9"/>
    <w:autoRedefine/>
    <w:qFormat/>
    <w:uiPriority w:val="0"/>
    <w:rPr>
      <w:rFonts w:hint="default" w:ascii="Arial" w:hAnsi="Arial" w:cs="Arial"/>
      <w:b/>
      <w:bCs/>
      <w:color w:val="000000"/>
      <w:sz w:val="15"/>
      <w:szCs w:val="15"/>
      <w:u w:val="none"/>
    </w:rPr>
  </w:style>
  <w:style w:type="character" w:customStyle="1" w:styleId="15">
    <w:name w:val="font81"/>
    <w:basedOn w:val="9"/>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9866</Words>
  <Characters>10242</Characters>
  <Lines>77</Lines>
  <Paragraphs>21</Paragraphs>
  <TotalTime>0</TotalTime>
  <ScaleCrop>false</ScaleCrop>
  <LinksUpToDate>false</LinksUpToDate>
  <CharactersWithSpaces>10388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2020-04-02T07:52:00Z</dcterms:created>
  <dc:creator>修罗提莫</dc:creator>
  <cp:lastModifiedBy>人生</cp:lastModifiedBy>
  <dcterms:modified xsi:type="dcterms:W3CDTF">2024-03-19T13:11:26Z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67FBC5644BF54044B17F30A804C708DB</vt:lpwstr>
  </property>
</Properties>
</file>